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E26B" w14:textId="77777777" w:rsidR="007A7D25" w:rsidRDefault="007A7D25" w:rsidP="00D31886">
      <w:pPr>
        <w:spacing w:before="480" w:line="306" w:lineRule="exact"/>
        <w:ind w:left="20"/>
        <w:jc w:val="center"/>
        <w:rPr>
          <w:color w:val="006FC0"/>
          <w:spacing w:val="-4"/>
          <w:sz w:val="28"/>
        </w:rPr>
      </w:pPr>
      <w:r>
        <w:rPr>
          <w:color w:val="006FC0"/>
          <w:spacing w:val="-4"/>
          <w:sz w:val="28"/>
        </w:rPr>
        <w:t xml:space="preserve">NÁRODNÍ </w:t>
      </w:r>
      <w:r>
        <w:rPr>
          <w:color w:val="006FC0"/>
          <w:spacing w:val="-3"/>
          <w:sz w:val="28"/>
        </w:rPr>
        <w:t xml:space="preserve">PLÁN </w:t>
      </w:r>
      <w:r>
        <w:rPr>
          <w:color w:val="006FC0"/>
          <w:spacing w:val="-4"/>
          <w:sz w:val="28"/>
        </w:rPr>
        <w:t>OBNOVY</w:t>
      </w:r>
    </w:p>
    <w:p w14:paraId="16E001CF" w14:textId="77777777" w:rsidR="00A656D2" w:rsidRDefault="00A656D2" w:rsidP="00D31886">
      <w:pPr>
        <w:spacing w:line="306" w:lineRule="exact"/>
        <w:rPr>
          <w:sz w:val="28"/>
        </w:rPr>
      </w:pPr>
    </w:p>
    <w:tbl>
      <w:tblPr>
        <w:tblStyle w:val="Mkatabulky"/>
        <w:tblpPr w:leftFromText="141" w:rightFromText="141" w:vertAnchor="page" w:horzAnchor="margin" w:tblpY="2881"/>
        <w:tblW w:w="0" w:type="auto"/>
        <w:tblLook w:val="04A0" w:firstRow="1" w:lastRow="0" w:firstColumn="1" w:lastColumn="0" w:noHBand="0" w:noVBand="1"/>
      </w:tblPr>
      <w:tblGrid>
        <w:gridCol w:w="4531"/>
        <w:gridCol w:w="4531"/>
      </w:tblGrid>
      <w:tr w:rsidR="00A656D2" w14:paraId="7842A8F1" w14:textId="77777777" w:rsidTr="00A656D2">
        <w:tc>
          <w:tcPr>
            <w:tcW w:w="4531" w:type="dxa"/>
            <w:shd w:val="clear" w:color="auto" w:fill="E7E6E6" w:themeFill="background2"/>
          </w:tcPr>
          <w:p w14:paraId="60B4E6D6" w14:textId="77777777" w:rsidR="00A656D2" w:rsidRDefault="007038B7" w:rsidP="00E535F7">
            <w:pPr>
              <w:pStyle w:val="Zkladntext"/>
              <w:spacing w:before="0"/>
            </w:pPr>
            <w:r w:rsidRPr="00E535F7">
              <w:t>Komponenta/Investice Národního plánu obnovy</w:t>
            </w:r>
          </w:p>
          <w:p w14:paraId="2AB21AFF" w14:textId="059FDB83" w:rsidR="00937F1C" w:rsidRPr="00E535F7" w:rsidRDefault="00937F1C" w:rsidP="00E535F7">
            <w:pPr>
              <w:pStyle w:val="Zkladntext"/>
              <w:spacing w:before="0"/>
            </w:pPr>
          </w:p>
        </w:tc>
        <w:tc>
          <w:tcPr>
            <w:tcW w:w="4531" w:type="dxa"/>
          </w:tcPr>
          <w:p w14:paraId="0DC27657" w14:textId="77777777" w:rsidR="00A656D2" w:rsidRPr="00E535F7" w:rsidRDefault="00177C3F" w:rsidP="00E535F7">
            <w:pPr>
              <w:pStyle w:val="Zkladntext"/>
              <w:spacing w:before="0"/>
              <w:ind w:left="20"/>
            </w:pPr>
            <w:r w:rsidRPr="00E535F7">
              <w:t>1.4 Digitální ekonomika a společnost, inovativní start-upy a nové technologie/Aktivita 1.4.3.1 Vybudování kvantové komunikační infrastruktury</w:t>
            </w:r>
          </w:p>
        </w:tc>
      </w:tr>
      <w:tr w:rsidR="00A656D2" w14:paraId="691A8064" w14:textId="77777777" w:rsidTr="00A656D2">
        <w:tc>
          <w:tcPr>
            <w:tcW w:w="4531" w:type="dxa"/>
            <w:shd w:val="clear" w:color="auto" w:fill="E7E6E6" w:themeFill="background2"/>
          </w:tcPr>
          <w:p w14:paraId="30580E60" w14:textId="77777777" w:rsidR="00A656D2" w:rsidRPr="00E535F7" w:rsidRDefault="008A31CD" w:rsidP="00E535F7">
            <w:pPr>
              <w:pStyle w:val="Zkladntext"/>
              <w:spacing w:before="0"/>
            </w:pPr>
            <w:r w:rsidRPr="00E535F7">
              <w:t>Název výzvy</w:t>
            </w:r>
          </w:p>
        </w:tc>
        <w:tc>
          <w:tcPr>
            <w:tcW w:w="4531" w:type="dxa"/>
          </w:tcPr>
          <w:p w14:paraId="3D2C5736" w14:textId="77777777" w:rsidR="00A656D2" w:rsidRPr="00E535F7" w:rsidRDefault="00DA004D" w:rsidP="00E535F7">
            <w:pPr>
              <w:rPr>
                <w:sz w:val="24"/>
                <w:szCs w:val="24"/>
              </w:rPr>
            </w:pPr>
            <w:r w:rsidRPr="00E535F7">
              <w:rPr>
                <w:sz w:val="24"/>
                <w:szCs w:val="24"/>
              </w:rPr>
              <w:t xml:space="preserve">Národní kofinancování pro </w:t>
            </w:r>
            <w:r w:rsidRPr="00E535F7">
              <w:rPr>
                <w:spacing w:val="-3"/>
                <w:sz w:val="24"/>
                <w:szCs w:val="24"/>
              </w:rPr>
              <w:t>Českou národní kvantovou komunikační infrastrukturu (CZQCI)</w:t>
            </w:r>
            <w:r w:rsidRPr="00E535F7">
              <w:rPr>
                <w:sz w:val="24"/>
                <w:szCs w:val="24"/>
              </w:rPr>
              <w:t xml:space="preserve"> v rámci programu Digitální Evropa</w:t>
            </w:r>
          </w:p>
        </w:tc>
      </w:tr>
      <w:tr w:rsidR="00A656D2" w14:paraId="4EDDF13D" w14:textId="77777777" w:rsidTr="00A656D2">
        <w:tc>
          <w:tcPr>
            <w:tcW w:w="4531" w:type="dxa"/>
            <w:shd w:val="clear" w:color="auto" w:fill="E7E6E6" w:themeFill="background2"/>
          </w:tcPr>
          <w:p w14:paraId="38BC6AFF" w14:textId="77777777" w:rsidR="00A656D2" w:rsidRPr="00E535F7" w:rsidRDefault="00D32868" w:rsidP="00E535F7">
            <w:pPr>
              <w:pStyle w:val="Zkladntext"/>
              <w:spacing w:before="0"/>
            </w:pPr>
            <w:r w:rsidRPr="00E535F7">
              <w:t>Cíl výzvy</w:t>
            </w:r>
          </w:p>
        </w:tc>
        <w:tc>
          <w:tcPr>
            <w:tcW w:w="4531" w:type="dxa"/>
          </w:tcPr>
          <w:p w14:paraId="2F619D57" w14:textId="49498D6A" w:rsidR="00A656D2" w:rsidRPr="00E535F7" w:rsidRDefault="008253C6" w:rsidP="00E535F7">
            <w:pPr>
              <w:rPr>
                <w:sz w:val="24"/>
                <w:szCs w:val="24"/>
              </w:rPr>
            </w:pPr>
            <w:r w:rsidRPr="00E535F7">
              <w:rPr>
                <w:sz w:val="24"/>
                <w:szCs w:val="24"/>
              </w:rPr>
              <w:t xml:space="preserve">Podpořit činnost </w:t>
            </w:r>
            <w:r w:rsidR="00FE7322">
              <w:rPr>
                <w:sz w:val="24"/>
                <w:szCs w:val="24"/>
              </w:rPr>
              <w:t xml:space="preserve">subjektu, </w:t>
            </w:r>
            <w:r w:rsidRPr="0076054F">
              <w:rPr>
                <w:sz w:val="24"/>
                <w:szCs w:val="24"/>
              </w:rPr>
              <w:t>kter</w:t>
            </w:r>
            <w:r w:rsidR="00FE7322" w:rsidRPr="0076054F">
              <w:rPr>
                <w:sz w:val="24"/>
                <w:szCs w:val="24"/>
              </w:rPr>
              <w:t>ý</w:t>
            </w:r>
            <w:r w:rsidRPr="0076054F">
              <w:rPr>
                <w:sz w:val="24"/>
                <w:szCs w:val="24"/>
              </w:rPr>
              <w:t xml:space="preserve"> podal</w:t>
            </w:r>
            <w:r w:rsidR="0076054F">
              <w:rPr>
                <w:sz w:val="24"/>
                <w:szCs w:val="24"/>
              </w:rPr>
              <w:t xml:space="preserve"> úspěšnou žádost do projektu na vybudování kvantové komunikační infrastruktury </w:t>
            </w:r>
            <w:r w:rsidR="00CA3D67">
              <w:rPr>
                <w:sz w:val="24"/>
                <w:szCs w:val="24"/>
              </w:rPr>
              <w:t xml:space="preserve">České republiky </w:t>
            </w:r>
            <w:r w:rsidR="0076054F">
              <w:rPr>
                <w:sz w:val="24"/>
                <w:szCs w:val="24"/>
              </w:rPr>
              <w:t xml:space="preserve">v rámci </w:t>
            </w:r>
            <w:r w:rsidRPr="0076054F">
              <w:rPr>
                <w:sz w:val="24"/>
                <w:szCs w:val="24"/>
              </w:rPr>
              <w:t>programu Digitální Evropa</w:t>
            </w:r>
          </w:p>
        </w:tc>
      </w:tr>
      <w:tr w:rsidR="00A656D2" w14:paraId="4E45F6CE" w14:textId="77777777" w:rsidTr="00A656D2">
        <w:tc>
          <w:tcPr>
            <w:tcW w:w="4531" w:type="dxa"/>
            <w:shd w:val="clear" w:color="auto" w:fill="E7E6E6" w:themeFill="background2"/>
          </w:tcPr>
          <w:p w14:paraId="337C9ACF" w14:textId="77777777" w:rsidR="00A656D2" w:rsidRPr="00E535F7" w:rsidRDefault="00A6083C" w:rsidP="00E535F7">
            <w:pPr>
              <w:pStyle w:val="Zkladntext"/>
              <w:spacing w:before="0"/>
            </w:pPr>
            <w:r w:rsidRPr="00E535F7">
              <w:t>Druh výzvy</w:t>
            </w:r>
          </w:p>
        </w:tc>
        <w:tc>
          <w:tcPr>
            <w:tcW w:w="4531" w:type="dxa"/>
          </w:tcPr>
          <w:p w14:paraId="4E4BD562" w14:textId="500DF8C8" w:rsidR="00A656D2" w:rsidRPr="00E535F7" w:rsidRDefault="007A7805" w:rsidP="00992C38">
            <w:pPr>
              <w:pStyle w:val="Zkladntext"/>
              <w:spacing w:before="0"/>
            </w:pPr>
            <w:r>
              <w:t>Kolová</w:t>
            </w:r>
          </w:p>
        </w:tc>
      </w:tr>
      <w:tr w:rsidR="00D301F2" w14:paraId="297D9B79" w14:textId="77777777" w:rsidTr="00A656D2">
        <w:tc>
          <w:tcPr>
            <w:tcW w:w="4531" w:type="dxa"/>
            <w:shd w:val="clear" w:color="auto" w:fill="E7E6E6" w:themeFill="background2"/>
          </w:tcPr>
          <w:p w14:paraId="0A75B108" w14:textId="1F0505FD" w:rsidR="00D301F2" w:rsidRPr="00E535F7" w:rsidRDefault="00D301F2" w:rsidP="00E535F7">
            <w:pPr>
              <w:pStyle w:val="Zkladntext"/>
              <w:spacing w:before="0"/>
            </w:pPr>
            <w:r>
              <w:t>Model hodnocení</w:t>
            </w:r>
          </w:p>
        </w:tc>
        <w:tc>
          <w:tcPr>
            <w:tcW w:w="4531" w:type="dxa"/>
          </w:tcPr>
          <w:p w14:paraId="60153ACC" w14:textId="4F2C6C3E" w:rsidR="00D301F2" w:rsidRPr="00E535F7" w:rsidRDefault="00D301F2" w:rsidP="00992C38">
            <w:pPr>
              <w:pStyle w:val="Zkladntext"/>
              <w:spacing w:before="0"/>
            </w:pPr>
            <w:r>
              <w:t>Jednokolový</w:t>
            </w:r>
            <w:r w:rsidR="007A7805" w:rsidRPr="00E535F7">
              <w:t xml:space="preserve"> </w:t>
            </w:r>
          </w:p>
        </w:tc>
      </w:tr>
      <w:tr w:rsidR="00A656D2" w14:paraId="2405C96A" w14:textId="77777777" w:rsidTr="00A656D2">
        <w:tc>
          <w:tcPr>
            <w:tcW w:w="4531" w:type="dxa"/>
            <w:shd w:val="clear" w:color="auto" w:fill="E7E6E6" w:themeFill="background2"/>
          </w:tcPr>
          <w:p w14:paraId="6D1A0D62" w14:textId="77777777" w:rsidR="00A656D2" w:rsidRPr="00E535F7" w:rsidRDefault="001C584C" w:rsidP="00E535F7">
            <w:pPr>
              <w:pStyle w:val="Zkladntext"/>
              <w:spacing w:before="0"/>
            </w:pPr>
            <w:r w:rsidRPr="00E535F7">
              <w:t>Datum vyhlášení výzvy</w:t>
            </w:r>
          </w:p>
        </w:tc>
        <w:tc>
          <w:tcPr>
            <w:tcW w:w="4531" w:type="dxa"/>
          </w:tcPr>
          <w:p w14:paraId="1B804C8F" w14:textId="77777777" w:rsidR="00A656D2" w:rsidRPr="00086D1B" w:rsidRDefault="00A656D2" w:rsidP="00086D1B">
            <w:pPr>
              <w:rPr>
                <w:sz w:val="24"/>
                <w:szCs w:val="24"/>
              </w:rPr>
            </w:pPr>
          </w:p>
        </w:tc>
      </w:tr>
      <w:tr w:rsidR="00A656D2" w14:paraId="18E16ABA" w14:textId="77777777" w:rsidTr="00A656D2">
        <w:tc>
          <w:tcPr>
            <w:tcW w:w="4531" w:type="dxa"/>
            <w:shd w:val="clear" w:color="auto" w:fill="E7E6E6" w:themeFill="background2"/>
          </w:tcPr>
          <w:p w14:paraId="0D0CBB95" w14:textId="77777777" w:rsidR="00D63462" w:rsidRPr="00E535F7" w:rsidRDefault="00D63462" w:rsidP="00E535F7">
            <w:pPr>
              <w:pStyle w:val="Zkladntext"/>
              <w:tabs>
                <w:tab w:val="left" w:pos="1142"/>
                <w:tab w:val="left" w:pos="2317"/>
                <w:tab w:val="left" w:pos="3328"/>
              </w:tabs>
              <w:spacing w:before="0"/>
            </w:pPr>
            <w:r w:rsidRPr="00E535F7">
              <w:t>Datum</w:t>
            </w:r>
            <w:r w:rsidRPr="00E535F7">
              <w:tab/>
              <w:t>zahájení</w:t>
            </w:r>
            <w:r w:rsidRPr="00E535F7">
              <w:tab/>
              <w:t>příjmu</w:t>
            </w:r>
            <w:r w:rsidRPr="00E535F7">
              <w:tab/>
              <w:t>žádostí</w:t>
            </w:r>
          </w:p>
          <w:p w14:paraId="3C84EEF6" w14:textId="77777777" w:rsidR="00A656D2" w:rsidRPr="00E535F7" w:rsidRDefault="00D63462" w:rsidP="00E535F7">
            <w:pPr>
              <w:rPr>
                <w:sz w:val="24"/>
                <w:szCs w:val="24"/>
              </w:rPr>
            </w:pPr>
            <w:r w:rsidRPr="00E535F7">
              <w:rPr>
                <w:sz w:val="24"/>
                <w:szCs w:val="24"/>
              </w:rPr>
              <w:t>o poskytnutí dotace</w:t>
            </w:r>
          </w:p>
        </w:tc>
        <w:tc>
          <w:tcPr>
            <w:tcW w:w="4531" w:type="dxa"/>
          </w:tcPr>
          <w:p w14:paraId="52D0372C" w14:textId="329AEFC5" w:rsidR="00A656D2" w:rsidRPr="00E535F7" w:rsidRDefault="00454336" w:rsidP="00E535F7">
            <w:pPr>
              <w:pStyle w:val="Zkladntext"/>
              <w:spacing w:before="0"/>
            </w:pPr>
            <w:r>
              <w:t>Může být shodné s datem vyhlášení výzvy</w:t>
            </w:r>
          </w:p>
        </w:tc>
      </w:tr>
      <w:tr w:rsidR="00A656D2" w14:paraId="356F7DA1" w14:textId="77777777" w:rsidTr="00A656D2">
        <w:tc>
          <w:tcPr>
            <w:tcW w:w="4531" w:type="dxa"/>
            <w:shd w:val="clear" w:color="auto" w:fill="E7E6E6" w:themeFill="background2"/>
          </w:tcPr>
          <w:p w14:paraId="1AC82FF3" w14:textId="77777777" w:rsidR="009277D0" w:rsidRPr="00E535F7" w:rsidRDefault="009277D0" w:rsidP="00E535F7">
            <w:pPr>
              <w:pStyle w:val="Zkladntext"/>
              <w:tabs>
                <w:tab w:val="left" w:pos="1115"/>
                <w:tab w:val="left" w:pos="2346"/>
                <w:tab w:val="left" w:pos="3327"/>
              </w:tabs>
              <w:spacing w:before="0"/>
            </w:pPr>
            <w:r w:rsidRPr="00E535F7">
              <w:t>Datum</w:t>
            </w:r>
            <w:r w:rsidRPr="00E535F7">
              <w:tab/>
            </w:r>
            <w:r w:rsidRPr="00E535F7">
              <w:rPr>
                <w:spacing w:val="-3"/>
              </w:rPr>
              <w:t>ukončení</w:t>
            </w:r>
            <w:r w:rsidRPr="00E535F7">
              <w:rPr>
                <w:spacing w:val="-3"/>
              </w:rPr>
              <w:tab/>
            </w:r>
            <w:r w:rsidRPr="00E535F7">
              <w:t>příjmu</w:t>
            </w:r>
            <w:r w:rsidRPr="00E535F7">
              <w:tab/>
              <w:t>žádostí</w:t>
            </w:r>
          </w:p>
          <w:p w14:paraId="0CE4309B" w14:textId="139EC940" w:rsidR="00A656D2" w:rsidRPr="00E535F7" w:rsidRDefault="009277D0" w:rsidP="00E535F7">
            <w:pPr>
              <w:rPr>
                <w:sz w:val="24"/>
                <w:szCs w:val="24"/>
              </w:rPr>
            </w:pPr>
            <w:r w:rsidRPr="00E535F7">
              <w:rPr>
                <w:sz w:val="24"/>
                <w:szCs w:val="24"/>
              </w:rPr>
              <w:t>o poskytnutí dotace</w:t>
            </w:r>
            <w:r w:rsidR="00D301F2">
              <w:rPr>
                <w:sz w:val="24"/>
                <w:szCs w:val="24"/>
              </w:rPr>
              <w:t xml:space="preserve"> </w:t>
            </w:r>
          </w:p>
        </w:tc>
        <w:tc>
          <w:tcPr>
            <w:tcW w:w="4531" w:type="dxa"/>
          </w:tcPr>
          <w:p w14:paraId="29296E0C" w14:textId="323E7CFA" w:rsidR="00A656D2" w:rsidRPr="00E535F7" w:rsidRDefault="00454336" w:rsidP="00E535F7">
            <w:pPr>
              <w:pStyle w:val="Zkladntext"/>
              <w:spacing w:before="0"/>
            </w:pPr>
            <w:r>
              <w:t>měsíc</w:t>
            </w:r>
          </w:p>
        </w:tc>
      </w:tr>
      <w:tr w:rsidR="00A656D2" w14:paraId="73CC4DDD" w14:textId="77777777" w:rsidTr="00A656D2">
        <w:tc>
          <w:tcPr>
            <w:tcW w:w="4531" w:type="dxa"/>
            <w:shd w:val="clear" w:color="auto" w:fill="E7E6E6" w:themeFill="background2"/>
          </w:tcPr>
          <w:p w14:paraId="113356F8" w14:textId="77777777" w:rsidR="00A656D2" w:rsidRPr="00E535F7" w:rsidRDefault="0008695B" w:rsidP="00E535F7">
            <w:pPr>
              <w:rPr>
                <w:sz w:val="24"/>
                <w:szCs w:val="24"/>
              </w:rPr>
            </w:pPr>
            <w:r w:rsidRPr="00E535F7">
              <w:rPr>
                <w:sz w:val="24"/>
                <w:szCs w:val="24"/>
              </w:rPr>
              <w:t>Cílové území programu podpory</w:t>
            </w:r>
          </w:p>
        </w:tc>
        <w:tc>
          <w:tcPr>
            <w:tcW w:w="4531" w:type="dxa"/>
          </w:tcPr>
          <w:p w14:paraId="799C1486" w14:textId="77777777" w:rsidR="00A656D2" w:rsidRPr="00E535F7" w:rsidRDefault="00E20E06" w:rsidP="00E535F7">
            <w:pPr>
              <w:rPr>
                <w:sz w:val="24"/>
                <w:szCs w:val="24"/>
              </w:rPr>
            </w:pPr>
            <w:r w:rsidRPr="00E535F7">
              <w:rPr>
                <w:sz w:val="24"/>
                <w:szCs w:val="24"/>
              </w:rPr>
              <w:t>Celé území České republiky</w:t>
            </w:r>
          </w:p>
        </w:tc>
      </w:tr>
      <w:tr w:rsidR="00A656D2" w14:paraId="34125A27" w14:textId="77777777" w:rsidTr="00A656D2">
        <w:tc>
          <w:tcPr>
            <w:tcW w:w="4531" w:type="dxa"/>
            <w:shd w:val="clear" w:color="auto" w:fill="E7E6E6" w:themeFill="background2"/>
          </w:tcPr>
          <w:p w14:paraId="7FD41AC8" w14:textId="430DF4FC" w:rsidR="00A656D2" w:rsidRPr="00E535F7" w:rsidRDefault="00D301F2" w:rsidP="00E535F7">
            <w:pPr>
              <w:pStyle w:val="Zkladntext"/>
              <w:spacing w:before="0"/>
            </w:pPr>
            <w:r>
              <w:t>Nejzazší datum</w:t>
            </w:r>
            <w:r w:rsidR="000D5550" w:rsidRPr="00E535F7">
              <w:t xml:space="preserve"> pro ukončení</w:t>
            </w:r>
            <w:r>
              <w:t xml:space="preserve"> fyzické</w:t>
            </w:r>
            <w:r w:rsidR="000D5550" w:rsidRPr="00E535F7">
              <w:t xml:space="preserve"> realizace projektu</w:t>
            </w:r>
          </w:p>
        </w:tc>
        <w:tc>
          <w:tcPr>
            <w:tcW w:w="4531" w:type="dxa"/>
          </w:tcPr>
          <w:p w14:paraId="07146278" w14:textId="2661115F" w:rsidR="00A656D2" w:rsidRPr="00E535F7" w:rsidRDefault="00E35A72" w:rsidP="00E535F7">
            <w:pPr>
              <w:pStyle w:val="Zkladntext"/>
              <w:spacing w:before="0"/>
            </w:pPr>
            <w:r w:rsidRPr="00E535F7">
              <w:t>Do 30. 6. 202</w:t>
            </w:r>
            <w:r w:rsidR="00086D1B">
              <w:t>6</w:t>
            </w:r>
          </w:p>
        </w:tc>
      </w:tr>
      <w:tr w:rsidR="00A656D2" w14:paraId="256C272F" w14:textId="77777777" w:rsidTr="00A656D2">
        <w:tc>
          <w:tcPr>
            <w:tcW w:w="4531" w:type="dxa"/>
            <w:shd w:val="clear" w:color="auto" w:fill="E7E6E6" w:themeFill="background2"/>
          </w:tcPr>
          <w:p w14:paraId="3F196BBA" w14:textId="77777777" w:rsidR="00A656D2" w:rsidRPr="00E535F7" w:rsidRDefault="0044465B" w:rsidP="00E535F7">
            <w:pPr>
              <w:rPr>
                <w:sz w:val="24"/>
                <w:szCs w:val="24"/>
              </w:rPr>
            </w:pPr>
            <w:r w:rsidRPr="00E535F7">
              <w:rPr>
                <w:sz w:val="24"/>
                <w:szCs w:val="24"/>
              </w:rPr>
              <w:t>Plánovaná alokace výzvy</w:t>
            </w:r>
          </w:p>
        </w:tc>
        <w:tc>
          <w:tcPr>
            <w:tcW w:w="4531" w:type="dxa"/>
          </w:tcPr>
          <w:p w14:paraId="4D468514" w14:textId="77777777" w:rsidR="00A656D2" w:rsidRPr="00E535F7" w:rsidRDefault="00BC2167" w:rsidP="00E535F7">
            <w:pPr>
              <w:rPr>
                <w:sz w:val="24"/>
                <w:szCs w:val="24"/>
              </w:rPr>
            </w:pPr>
            <w:r w:rsidRPr="00E535F7">
              <w:rPr>
                <w:sz w:val="24"/>
                <w:szCs w:val="24"/>
              </w:rPr>
              <w:t>Celková částka 130 mil. Kč</w:t>
            </w:r>
          </w:p>
        </w:tc>
      </w:tr>
      <w:tr w:rsidR="0020045B" w14:paraId="09CFEE39" w14:textId="77777777" w:rsidTr="00A656D2">
        <w:tc>
          <w:tcPr>
            <w:tcW w:w="4531" w:type="dxa"/>
            <w:shd w:val="clear" w:color="auto" w:fill="E7E6E6" w:themeFill="background2"/>
          </w:tcPr>
          <w:p w14:paraId="41280486" w14:textId="77777777" w:rsidR="0020045B" w:rsidRPr="00E535F7" w:rsidRDefault="0020045B" w:rsidP="0020045B">
            <w:pPr>
              <w:rPr>
                <w:sz w:val="24"/>
                <w:szCs w:val="24"/>
              </w:rPr>
            </w:pPr>
            <w:r w:rsidRPr="00E535F7">
              <w:rPr>
                <w:sz w:val="24"/>
                <w:szCs w:val="24"/>
              </w:rPr>
              <w:t>Maximální podpora na projekt</w:t>
            </w:r>
          </w:p>
        </w:tc>
        <w:tc>
          <w:tcPr>
            <w:tcW w:w="4531" w:type="dxa"/>
          </w:tcPr>
          <w:p w14:paraId="37426957" w14:textId="74E42B39" w:rsidR="0020045B" w:rsidRPr="00E535F7" w:rsidRDefault="0020045B" w:rsidP="0020045B">
            <w:pPr>
              <w:rPr>
                <w:sz w:val="24"/>
                <w:szCs w:val="24"/>
              </w:rPr>
            </w:pPr>
            <w:r w:rsidRPr="00E535F7">
              <w:rPr>
                <w:sz w:val="24"/>
                <w:szCs w:val="24"/>
              </w:rPr>
              <w:t>Max. částka 1</w:t>
            </w:r>
            <w:r w:rsidR="000877A1">
              <w:rPr>
                <w:sz w:val="24"/>
                <w:szCs w:val="24"/>
              </w:rPr>
              <w:t>3</w:t>
            </w:r>
            <w:r w:rsidRPr="00E535F7">
              <w:rPr>
                <w:sz w:val="24"/>
                <w:szCs w:val="24"/>
              </w:rPr>
              <w:t>0 mil. Kč</w:t>
            </w:r>
          </w:p>
        </w:tc>
      </w:tr>
      <w:tr w:rsidR="0020045B" w14:paraId="5976CEDB" w14:textId="77777777" w:rsidTr="00A656D2">
        <w:tc>
          <w:tcPr>
            <w:tcW w:w="4531" w:type="dxa"/>
            <w:shd w:val="clear" w:color="auto" w:fill="E7E6E6" w:themeFill="background2"/>
          </w:tcPr>
          <w:p w14:paraId="08F2BC5B" w14:textId="77777777" w:rsidR="0020045B" w:rsidRPr="00E535F7" w:rsidRDefault="0020045B" w:rsidP="0020045B">
            <w:pPr>
              <w:rPr>
                <w:sz w:val="24"/>
                <w:szCs w:val="24"/>
              </w:rPr>
            </w:pPr>
            <w:r w:rsidRPr="00E535F7">
              <w:rPr>
                <w:sz w:val="24"/>
                <w:szCs w:val="24"/>
              </w:rPr>
              <w:t>Míra podpory</w:t>
            </w:r>
          </w:p>
        </w:tc>
        <w:tc>
          <w:tcPr>
            <w:tcW w:w="4531" w:type="dxa"/>
          </w:tcPr>
          <w:p w14:paraId="633092A6" w14:textId="79A3DB90" w:rsidR="0020045B" w:rsidRPr="00E535F7" w:rsidRDefault="00804109" w:rsidP="0020045B">
            <w:pPr>
              <w:rPr>
                <w:sz w:val="24"/>
                <w:szCs w:val="24"/>
              </w:rPr>
            </w:pPr>
            <w:r>
              <w:rPr>
                <w:sz w:val="24"/>
                <w:szCs w:val="24"/>
              </w:rPr>
              <w:t>100 % (</w:t>
            </w:r>
            <w:r w:rsidR="000877A1" w:rsidRPr="000877A1">
              <w:rPr>
                <w:sz w:val="24"/>
                <w:szCs w:val="24"/>
              </w:rPr>
              <w:t xml:space="preserve">z kterých již dříve bylo </w:t>
            </w:r>
            <w:r w:rsidR="000877A1">
              <w:rPr>
                <w:sz w:val="24"/>
                <w:szCs w:val="24"/>
              </w:rPr>
              <w:br/>
            </w:r>
            <w:r w:rsidR="000877A1" w:rsidRPr="000877A1">
              <w:rPr>
                <w:sz w:val="24"/>
                <w:szCs w:val="24"/>
              </w:rPr>
              <w:t>50 %</w:t>
            </w:r>
            <w:r>
              <w:rPr>
                <w:sz w:val="24"/>
                <w:szCs w:val="24"/>
              </w:rPr>
              <w:t xml:space="preserve"> financován</w:t>
            </w:r>
            <w:r w:rsidR="000877A1">
              <w:rPr>
                <w:sz w:val="24"/>
                <w:szCs w:val="24"/>
              </w:rPr>
              <w:t xml:space="preserve">o </w:t>
            </w:r>
            <w:r>
              <w:rPr>
                <w:sz w:val="24"/>
                <w:szCs w:val="24"/>
              </w:rPr>
              <w:t>z programu Digitální Evropa ve v</w:t>
            </w:r>
            <w:r w:rsidRPr="00E535F7">
              <w:rPr>
                <w:sz w:val="24"/>
                <w:szCs w:val="24"/>
              </w:rPr>
              <w:t>ýzvě</w:t>
            </w:r>
            <w:r>
              <w:rPr>
                <w:sz w:val="24"/>
                <w:szCs w:val="24"/>
              </w:rPr>
              <w:t xml:space="preserve"> </w:t>
            </w:r>
            <w:r w:rsidR="000877A1" w:rsidRPr="000877A1">
              <w:rPr>
                <w:sz w:val="24"/>
                <w:szCs w:val="24"/>
              </w:rPr>
              <w:t>[</w:t>
            </w:r>
            <w:r>
              <w:rPr>
                <w:sz w:val="24"/>
                <w:szCs w:val="24"/>
              </w:rPr>
              <w:t>tématu</w:t>
            </w:r>
            <w:r w:rsidR="000877A1" w:rsidRPr="000877A1">
              <w:rPr>
                <w:sz w:val="24"/>
                <w:szCs w:val="24"/>
              </w:rPr>
              <w:t>]</w:t>
            </w:r>
            <w:r w:rsidRPr="00E535F7">
              <w:rPr>
                <w:sz w:val="24"/>
                <w:szCs w:val="24"/>
              </w:rPr>
              <w:t xml:space="preserve"> DIGITAL-2021-QCI-01-DEPLOY-NATIONAL</w:t>
            </w:r>
            <w:r w:rsidR="000877A1">
              <w:rPr>
                <w:sz w:val="24"/>
                <w:szCs w:val="24"/>
              </w:rPr>
              <w:t>)</w:t>
            </w:r>
            <w:r>
              <w:rPr>
                <w:sz w:val="24"/>
                <w:szCs w:val="24"/>
              </w:rPr>
              <w:t>.</w:t>
            </w:r>
          </w:p>
        </w:tc>
      </w:tr>
      <w:tr w:rsidR="0020045B" w14:paraId="1CDBC552" w14:textId="77777777" w:rsidTr="00A656D2">
        <w:tc>
          <w:tcPr>
            <w:tcW w:w="4531" w:type="dxa"/>
            <w:shd w:val="clear" w:color="auto" w:fill="E7E6E6" w:themeFill="background2"/>
          </w:tcPr>
          <w:p w14:paraId="3DEA9E9F" w14:textId="77777777" w:rsidR="0020045B" w:rsidRPr="00E535F7" w:rsidRDefault="0020045B" w:rsidP="0020045B">
            <w:pPr>
              <w:pStyle w:val="Zkladntext"/>
              <w:spacing w:before="0"/>
            </w:pPr>
            <w:r w:rsidRPr="00E535F7">
              <w:t>Příjemce dotace</w:t>
            </w:r>
          </w:p>
        </w:tc>
        <w:tc>
          <w:tcPr>
            <w:tcW w:w="4531" w:type="dxa"/>
          </w:tcPr>
          <w:p w14:paraId="6CD40549" w14:textId="4A41EB26" w:rsidR="0020045B" w:rsidRPr="00E535F7" w:rsidRDefault="0020045B" w:rsidP="0020045B">
            <w:pPr>
              <w:rPr>
                <w:sz w:val="24"/>
                <w:szCs w:val="24"/>
              </w:rPr>
            </w:pPr>
            <w:r>
              <w:rPr>
                <w:sz w:val="24"/>
                <w:szCs w:val="24"/>
              </w:rPr>
              <w:t>Subjekt</w:t>
            </w:r>
            <w:r w:rsidRPr="00E535F7">
              <w:rPr>
                <w:sz w:val="24"/>
                <w:szCs w:val="24"/>
              </w:rPr>
              <w:t xml:space="preserve"> vybr</w:t>
            </w:r>
            <w:r>
              <w:rPr>
                <w:sz w:val="24"/>
                <w:szCs w:val="24"/>
              </w:rPr>
              <w:t>a</w:t>
            </w:r>
            <w:r w:rsidRPr="00E535F7">
              <w:rPr>
                <w:sz w:val="24"/>
                <w:szCs w:val="24"/>
              </w:rPr>
              <w:t>n</w:t>
            </w:r>
            <w:r>
              <w:rPr>
                <w:sz w:val="24"/>
                <w:szCs w:val="24"/>
              </w:rPr>
              <w:t>ý</w:t>
            </w:r>
            <w:r w:rsidRPr="00E535F7">
              <w:rPr>
                <w:sz w:val="24"/>
                <w:szCs w:val="24"/>
              </w:rPr>
              <w:t xml:space="preserve"> Evropskou komisí pro financování z programu Digitální Evropa ve výzvě</w:t>
            </w:r>
            <w:bookmarkStart w:id="0" w:name="_Hlk140430538"/>
            <w:r>
              <w:rPr>
                <w:sz w:val="24"/>
                <w:szCs w:val="24"/>
              </w:rPr>
              <w:t xml:space="preserve"> (tématu)</w:t>
            </w:r>
            <w:bookmarkEnd w:id="0"/>
            <w:r w:rsidRPr="00E535F7">
              <w:rPr>
                <w:sz w:val="24"/>
                <w:szCs w:val="24"/>
              </w:rPr>
              <w:t xml:space="preserve"> DIGITAL-2021-QCI-01-DEPLOY-NATIONAL</w:t>
            </w:r>
            <w:r>
              <w:rPr>
                <w:sz w:val="24"/>
                <w:szCs w:val="24"/>
              </w:rPr>
              <w:t xml:space="preserve">. </w:t>
            </w:r>
          </w:p>
        </w:tc>
      </w:tr>
      <w:tr w:rsidR="0020045B" w14:paraId="47C397A6" w14:textId="77777777" w:rsidTr="00A656D2">
        <w:tc>
          <w:tcPr>
            <w:tcW w:w="4531" w:type="dxa"/>
            <w:shd w:val="clear" w:color="auto" w:fill="E7E6E6" w:themeFill="background2"/>
          </w:tcPr>
          <w:p w14:paraId="618451AC" w14:textId="77777777" w:rsidR="0020045B" w:rsidRDefault="0020045B" w:rsidP="0020045B">
            <w:pPr>
              <w:pStyle w:val="Zkladntext"/>
              <w:spacing w:before="0"/>
            </w:pPr>
            <w:r w:rsidRPr="00E535F7">
              <w:t>Poskytovatel podpory</w:t>
            </w:r>
          </w:p>
          <w:p w14:paraId="362DA1BF" w14:textId="54CD42B1" w:rsidR="0020045B" w:rsidRPr="00E535F7" w:rsidRDefault="0020045B" w:rsidP="0020045B">
            <w:pPr>
              <w:pStyle w:val="Zkladntext"/>
              <w:spacing w:before="0"/>
            </w:pPr>
          </w:p>
        </w:tc>
        <w:tc>
          <w:tcPr>
            <w:tcW w:w="4531" w:type="dxa"/>
          </w:tcPr>
          <w:p w14:paraId="0FA2F6C1" w14:textId="77777777" w:rsidR="0020045B" w:rsidRPr="002B5AA9" w:rsidRDefault="0020045B" w:rsidP="0020045B">
            <w:pPr>
              <w:pStyle w:val="Zkladntext"/>
              <w:spacing w:before="0"/>
            </w:pPr>
            <w:r w:rsidRPr="002B5AA9">
              <w:t>Národní úřad pro kybernetickou a informační bezpečnost</w:t>
            </w:r>
          </w:p>
          <w:p w14:paraId="79E0FFD5" w14:textId="5DE6F954" w:rsidR="0020045B" w:rsidRPr="00E535F7" w:rsidRDefault="0020045B" w:rsidP="0020045B">
            <w:pPr>
              <w:rPr>
                <w:sz w:val="24"/>
                <w:szCs w:val="24"/>
              </w:rPr>
            </w:pPr>
            <w:bookmarkStart w:id="1" w:name="_Hlk145414618"/>
            <w:r w:rsidRPr="002B5AA9">
              <w:rPr>
                <w:sz w:val="24"/>
                <w:szCs w:val="24"/>
              </w:rPr>
              <w:t>Mučednická 1125/31, Brno, 616 00, Česká republika</w:t>
            </w:r>
            <w:bookmarkEnd w:id="1"/>
          </w:p>
        </w:tc>
      </w:tr>
      <w:tr w:rsidR="0020045B" w14:paraId="5F788FCC" w14:textId="77777777" w:rsidTr="00A656D2">
        <w:tc>
          <w:tcPr>
            <w:tcW w:w="4531" w:type="dxa"/>
            <w:shd w:val="clear" w:color="auto" w:fill="E7E6E6" w:themeFill="background2"/>
          </w:tcPr>
          <w:p w14:paraId="5FD865FC" w14:textId="1ACC139F" w:rsidR="0020045B" w:rsidRPr="00E535F7" w:rsidRDefault="0020045B" w:rsidP="0020045B">
            <w:pPr>
              <w:pStyle w:val="Zkladntext"/>
              <w:spacing w:before="0"/>
            </w:pPr>
            <w:r>
              <w:t xml:space="preserve">Režim veřejné podpory </w:t>
            </w:r>
          </w:p>
        </w:tc>
        <w:tc>
          <w:tcPr>
            <w:tcW w:w="4531" w:type="dxa"/>
          </w:tcPr>
          <w:p w14:paraId="0BCD5668" w14:textId="24784216" w:rsidR="0020045B" w:rsidRPr="004962D8" w:rsidRDefault="0020045B" w:rsidP="0020045B">
            <w:pPr>
              <w:pStyle w:val="Zkladntext"/>
              <w:spacing w:before="0"/>
              <w:rPr>
                <w:highlight w:val="yellow"/>
              </w:rPr>
            </w:pPr>
            <w:r>
              <w:t>Mimo režim veřejné podpory pro organizace pro výzkum a šíření znalostí</w:t>
            </w:r>
            <w:r>
              <w:rPr>
                <w:rStyle w:val="Znakapoznpodarou"/>
              </w:rPr>
              <w:footnoteReference w:id="1"/>
            </w:r>
            <w:r>
              <w:t xml:space="preserve"> na jejich neekonomické, resp. </w:t>
            </w:r>
            <w:proofErr w:type="spellStart"/>
            <w:r>
              <w:t>nehospodářské</w:t>
            </w:r>
            <w:proofErr w:type="spellEnd"/>
            <w:r>
              <w:t xml:space="preserve"> činnosti. </w:t>
            </w:r>
          </w:p>
        </w:tc>
      </w:tr>
      <w:tr w:rsidR="0020045B" w:rsidRPr="004A71F4" w14:paraId="1C7F7511" w14:textId="77777777" w:rsidTr="00A656D2">
        <w:tc>
          <w:tcPr>
            <w:tcW w:w="4531" w:type="dxa"/>
            <w:shd w:val="clear" w:color="auto" w:fill="E7E6E6" w:themeFill="background2"/>
          </w:tcPr>
          <w:p w14:paraId="359D8C27" w14:textId="77777777" w:rsidR="0020045B" w:rsidRPr="004A71F4" w:rsidRDefault="0020045B" w:rsidP="0020045B">
            <w:pPr>
              <w:pStyle w:val="Zkladntext"/>
              <w:spacing w:before="0"/>
            </w:pPr>
            <w:r w:rsidRPr="004A71F4">
              <w:lastRenderedPageBreak/>
              <w:t>Místo příjmu žádostí</w:t>
            </w:r>
          </w:p>
        </w:tc>
        <w:tc>
          <w:tcPr>
            <w:tcW w:w="4531" w:type="dxa"/>
          </w:tcPr>
          <w:p w14:paraId="78168DA1" w14:textId="77777777" w:rsidR="0020045B" w:rsidRPr="004A71F4" w:rsidRDefault="0020045B" w:rsidP="0020045B">
            <w:pPr>
              <w:pStyle w:val="Zkladntext"/>
              <w:tabs>
                <w:tab w:val="left" w:pos="1113"/>
                <w:tab w:val="left" w:pos="2297"/>
                <w:tab w:val="left" w:pos="3813"/>
              </w:tabs>
              <w:spacing w:before="0"/>
            </w:pPr>
            <w:bookmarkStart w:id="2" w:name="_Hlk140417661"/>
            <w:r w:rsidRPr="004A71F4">
              <w:t>Datová</w:t>
            </w:r>
            <w:r w:rsidRPr="004A71F4">
              <w:tab/>
              <w:t>schránka</w:t>
            </w:r>
            <w:r w:rsidRPr="004A71F4">
              <w:tab/>
              <w:t>Národního úřadu pro kybernetickou a informační bezpečnost</w:t>
            </w:r>
          </w:p>
          <w:p w14:paraId="1444550C" w14:textId="77777777" w:rsidR="0020045B" w:rsidRPr="004A71F4" w:rsidRDefault="0020045B" w:rsidP="0020045B">
            <w:pPr>
              <w:rPr>
                <w:sz w:val="24"/>
                <w:szCs w:val="24"/>
              </w:rPr>
            </w:pPr>
            <w:r w:rsidRPr="004A71F4">
              <w:rPr>
                <w:sz w:val="24"/>
                <w:szCs w:val="24"/>
              </w:rPr>
              <w:t>ID: zzfnkp3, ve věci datové zprávy uvést označení výzvy „CZQCI“</w:t>
            </w:r>
            <w:bookmarkEnd w:id="2"/>
          </w:p>
        </w:tc>
      </w:tr>
    </w:tbl>
    <w:p w14:paraId="60BAE07F" w14:textId="77777777" w:rsidR="00EC6E1A" w:rsidRDefault="00A656D2" w:rsidP="00A656D2">
      <w:pPr>
        <w:jc w:val="center"/>
        <w:rPr>
          <w:sz w:val="24"/>
          <w:szCs w:val="24"/>
        </w:rPr>
        <w:sectPr w:rsidR="00EC6E1A">
          <w:headerReference w:type="default" r:id="rId8"/>
          <w:footerReference w:type="default" r:id="rId9"/>
          <w:pgSz w:w="11906" w:h="16838"/>
          <w:pgMar w:top="1417" w:right="1417" w:bottom="1417" w:left="1417" w:header="708" w:footer="708" w:gutter="0"/>
          <w:cols w:space="708"/>
          <w:docGrid w:linePitch="360"/>
        </w:sectPr>
      </w:pPr>
      <w:r w:rsidRPr="004A71F4">
        <w:rPr>
          <w:sz w:val="24"/>
          <w:szCs w:val="24"/>
        </w:rPr>
        <w:t xml:space="preserve"> </w:t>
      </w:r>
      <w:r w:rsidR="006D6559" w:rsidRPr="004A71F4">
        <w:rPr>
          <w:sz w:val="24"/>
          <w:szCs w:val="24"/>
        </w:rPr>
        <w:t xml:space="preserve">Výzva k </w:t>
      </w:r>
      <w:r w:rsidR="006D6559" w:rsidRPr="004A71F4">
        <w:rPr>
          <w:spacing w:val="-3"/>
          <w:sz w:val="24"/>
          <w:szCs w:val="24"/>
        </w:rPr>
        <w:t xml:space="preserve">podání žádosti </w:t>
      </w:r>
      <w:r w:rsidR="006D6559" w:rsidRPr="004A71F4">
        <w:rPr>
          <w:sz w:val="24"/>
          <w:szCs w:val="24"/>
        </w:rPr>
        <w:t xml:space="preserve">o poskytnutí </w:t>
      </w:r>
      <w:r w:rsidR="006D6559" w:rsidRPr="004A71F4">
        <w:rPr>
          <w:spacing w:val="-3"/>
          <w:sz w:val="24"/>
          <w:szCs w:val="24"/>
        </w:rPr>
        <w:t>dotace pro Českou národní kvantovou komunikační</w:t>
      </w:r>
      <w:r w:rsidR="006D6559" w:rsidRPr="004A71F4">
        <w:rPr>
          <w:spacing w:val="-3"/>
          <w:sz w:val="24"/>
          <w:szCs w:val="24"/>
        </w:rPr>
        <w:br/>
        <w:t>infrastrukturu (CZQCI)</w:t>
      </w:r>
      <w:r w:rsidR="006D6559" w:rsidRPr="004A71F4">
        <w:rPr>
          <w:sz w:val="24"/>
          <w:szCs w:val="24"/>
        </w:rPr>
        <w:t xml:space="preserve"> v rámci programu Digitální Evropa</w:t>
      </w:r>
    </w:p>
    <w:p w14:paraId="7C43415F" w14:textId="77777777" w:rsidR="00FC6FDE" w:rsidRDefault="00FC6FDE" w:rsidP="00A656D2">
      <w:pPr>
        <w:jc w:val="center"/>
        <w:rPr>
          <w:sz w:val="24"/>
          <w:szCs w:val="24"/>
        </w:rPr>
      </w:pPr>
    </w:p>
    <w:p w14:paraId="0E862648" w14:textId="7B1583BA" w:rsidR="002A34F8" w:rsidRDefault="002A34F8" w:rsidP="00B54582">
      <w:pPr>
        <w:pStyle w:val="Nadpis1"/>
      </w:pPr>
      <w:r>
        <w:t xml:space="preserve">1. Úvod </w:t>
      </w:r>
    </w:p>
    <w:p w14:paraId="3E8F2327" w14:textId="77777777" w:rsidR="002A34F8" w:rsidRDefault="002A34F8" w:rsidP="002A34F8"/>
    <w:p w14:paraId="7AC3F551" w14:textId="7680EB60" w:rsidR="002E38BC" w:rsidRDefault="002A34F8" w:rsidP="008F6C85">
      <w:pPr>
        <w:jc w:val="both"/>
      </w:pPr>
      <w:r>
        <w:t xml:space="preserve">Tato Výzva k podání žádostí o dotaci ve smyslu § 14j zákona č. 218/2000 Sb., o rozpočtových pravidlech (dále </w:t>
      </w:r>
      <w:r w:rsidR="00D909BB">
        <w:t xml:space="preserve">též </w:t>
      </w:r>
      <w:r>
        <w:t>jen „</w:t>
      </w:r>
      <w:proofErr w:type="spellStart"/>
      <w:r>
        <w:t>ZoRP</w:t>
      </w:r>
      <w:proofErr w:type="spellEnd"/>
      <w:r>
        <w:t xml:space="preserve">“) je vyhlášena v rámci implementace Nástroje </w:t>
      </w:r>
      <w:r w:rsidR="002E38BC">
        <w:t>pro oživení a odolnost v České republice (dále jen „Nástroj“) v souladu s nařízením Rady EU 2021/241 ze dne 12. února 2021, jež si klade za cíl oživení ekonomiky zasažené pandemií Covid-19 a podporu investic do ekologické a digitální transformace</w:t>
      </w:r>
      <w:r w:rsidR="00D909BB">
        <w:t xml:space="preserve"> (dále též jen „</w:t>
      </w:r>
      <w:r w:rsidR="00D909BB" w:rsidRPr="00C865EE">
        <w:t>Nařízení RRF</w:t>
      </w:r>
      <w:r w:rsidR="00D909BB">
        <w:t>“)</w:t>
      </w:r>
      <w:r w:rsidR="002E38BC">
        <w:t xml:space="preserve">. </w:t>
      </w:r>
    </w:p>
    <w:p w14:paraId="1DD7575F" w14:textId="77777777" w:rsidR="002E38BC" w:rsidRDefault="002E38BC" w:rsidP="008F6C85">
      <w:pPr>
        <w:jc w:val="both"/>
      </w:pPr>
    </w:p>
    <w:p w14:paraId="036B5E20" w14:textId="0C1AA7D9" w:rsidR="002A34F8" w:rsidRDefault="002E38BC" w:rsidP="008F6C85">
      <w:pPr>
        <w:jc w:val="both"/>
      </w:pPr>
      <w:r>
        <w:t xml:space="preserve">Výše uvedený Nástroj je prováděn podle Národního plánu obnovy, plánu pro oživení a odolnost české republiky (dále </w:t>
      </w:r>
      <w:r w:rsidR="00D909BB">
        <w:t xml:space="preserve">též </w:t>
      </w:r>
      <w:r>
        <w:t xml:space="preserve">jen </w:t>
      </w:r>
      <w:r w:rsidR="00D909BB">
        <w:t>„</w:t>
      </w:r>
      <w:r>
        <w:t xml:space="preserve">NPO“), schváleného usnesením vlády č. 467 ze dne 17. května 2021. </w:t>
      </w:r>
    </w:p>
    <w:p w14:paraId="787F0E8A" w14:textId="51B4CC81" w:rsidR="008F6C85" w:rsidRDefault="008F6C85" w:rsidP="002A34F8"/>
    <w:p w14:paraId="0F2F95A5" w14:textId="1CA2B254" w:rsidR="008F6C85" w:rsidRDefault="008F6C85" w:rsidP="008F6C85">
      <w:pPr>
        <w:pStyle w:val="Nadpis2"/>
        <w:numPr>
          <w:ilvl w:val="1"/>
          <w:numId w:val="18"/>
        </w:numPr>
      </w:pPr>
      <w:r>
        <w:t>Základní ustanovení</w:t>
      </w:r>
    </w:p>
    <w:p w14:paraId="727F6716" w14:textId="62FADA2D" w:rsidR="008F6C85" w:rsidRDefault="008F6C85" w:rsidP="00FE7322">
      <w:pPr>
        <w:pStyle w:val="Odstavecseseznamem"/>
        <w:ind w:left="385"/>
        <w:jc w:val="both"/>
      </w:pPr>
      <w:r w:rsidRPr="008F6C85">
        <w:rPr>
          <w:b/>
          <w:bCs/>
        </w:rPr>
        <w:t>Název poskytovatele podpory</w:t>
      </w:r>
      <w:r>
        <w:t xml:space="preserve">: Národní úřad pro kybernetickou a informační bezpečnost, </w:t>
      </w:r>
      <w:r w:rsidRPr="008F6C85">
        <w:t>Mučednická 1125/31, Brno, 616 00, Česká republika</w:t>
      </w:r>
      <w:r w:rsidR="004D29B7">
        <w:t>.</w:t>
      </w:r>
    </w:p>
    <w:p w14:paraId="62A4059F" w14:textId="1D3E3947" w:rsidR="008F6C85" w:rsidRDefault="008F6C85" w:rsidP="00FE7322">
      <w:pPr>
        <w:pStyle w:val="Odstavecseseznamem"/>
        <w:ind w:left="385"/>
        <w:jc w:val="both"/>
      </w:pPr>
    </w:p>
    <w:p w14:paraId="77281568" w14:textId="234A3EC3" w:rsidR="008F6C85" w:rsidRDefault="008F6C85" w:rsidP="00FE7322">
      <w:pPr>
        <w:pStyle w:val="Odstavecseseznamem"/>
        <w:ind w:left="385"/>
        <w:jc w:val="both"/>
      </w:pPr>
      <w:r w:rsidRPr="004D29B7">
        <w:rPr>
          <w:b/>
          <w:bCs/>
        </w:rPr>
        <w:t>Název subjektu, který přijímá Žádosti o dotaci</w:t>
      </w:r>
      <w:r w:rsidR="004D29B7">
        <w:t xml:space="preserve">: </w:t>
      </w:r>
      <w:r>
        <w:t xml:space="preserve">Národní úřad pro kybernetickou a informační bezpečnost, </w:t>
      </w:r>
      <w:r w:rsidRPr="008F6C85">
        <w:t>Mučednická 1125/31, Brno, 616 00, Česká republika</w:t>
      </w:r>
      <w:r>
        <w:t xml:space="preserve">, </w:t>
      </w:r>
      <w:r w:rsidR="004D29B7">
        <w:t>O</w:t>
      </w:r>
      <w:r>
        <w:t>d</w:t>
      </w:r>
      <w:r w:rsidR="004D29B7">
        <w:t>dělení</w:t>
      </w:r>
      <w:r>
        <w:t xml:space="preserve"> </w:t>
      </w:r>
      <w:r w:rsidR="004D29B7">
        <w:t>vědy výzkumu a inovací.</w:t>
      </w:r>
    </w:p>
    <w:p w14:paraId="7FF66EF7" w14:textId="7BD533E3" w:rsidR="004D29B7" w:rsidRDefault="004D29B7" w:rsidP="00FE7322">
      <w:pPr>
        <w:pStyle w:val="Odstavecseseznamem"/>
        <w:ind w:left="385"/>
        <w:jc w:val="both"/>
      </w:pPr>
    </w:p>
    <w:p w14:paraId="3D348EBD" w14:textId="2769E7F7" w:rsidR="004D29B7" w:rsidRDefault="004D29B7" w:rsidP="00FE7322">
      <w:pPr>
        <w:pStyle w:val="Odstavecseseznamem"/>
        <w:ind w:left="385"/>
        <w:jc w:val="both"/>
      </w:pPr>
      <w:r w:rsidRPr="004D29B7">
        <w:rPr>
          <w:b/>
          <w:bCs/>
        </w:rPr>
        <w:t>Název subjektu, který zajišťuje hodnocení a výběr projektů</w:t>
      </w:r>
      <w:r>
        <w:rPr>
          <w:b/>
          <w:bCs/>
        </w:rPr>
        <w:t>:</w:t>
      </w:r>
      <w:r w:rsidRPr="004D29B7">
        <w:rPr>
          <w:b/>
          <w:bCs/>
        </w:rPr>
        <w:t xml:space="preserve"> </w:t>
      </w:r>
      <w:r>
        <w:t>Národní úřad pro kybernetickou a</w:t>
      </w:r>
      <w:r w:rsidR="00FE7322">
        <w:t> </w:t>
      </w:r>
      <w:r>
        <w:t xml:space="preserve">informační bezpečnost, </w:t>
      </w:r>
      <w:r w:rsidRPr="008F6C85">
        <w:t>Mučednická 1125/31, Brno, 616 00, Česká republika</w:t>
      </w:r>
      <w:r w:rsidR="00E73CB1">
        <w:t>.</w:t>
      </w:r>
    </w:p>
    <w:p w14:paraId="3705F277" w14:textId="77777777" w:rsidR="004D29B7" w:rsidRDefault="004D29B7" w:rsidP="00FE7322">
      <w:pPr>
        <w:pStyle w:val="Odstavecseseznamem"/>
        <w:ind w:left="385"/>
        <w:jc w:val="both"/>
      </w:pPr>
    </w:p>
    <w:p w14:paraId="4EF1BB0D" w14:textId="1686319F" w:rsidR="004D29B7" w:rsidRDefault="004D29B7" w:rsidP="00FE7322">
      <w:pPr>
        <w:pStyle w:val="Odstavecseseznamem"/>
        <w:ind w:left="385"/>
        <w:jc w:val="both"/>
      </w:pPr>
      <w:r w:rsidRPr="004D29B7">
        <w:t>Bližší informace o hodnocení a výběru projektu/ů</w:t>
      </w:r>
      <w:r>
        <w:t xml:space="preserve"> jsou uvedeny v Příloze </w:t>
      </w:r>
      <w:r w:rsidRPr="0064123A">
        <w:t>č.</w:t>
      </w:r>
      <w:r w:rsidR="00804109" w:rsidRPr="0064123A">
        <w:t xml:space="preserve"> 8</w:t>
      </w:r>
      <w:r w:rsidR="0064123A">
        <w:t xml:space="preserve"> </w:t>
      </w:r>
      <w:r>
        <w:t>této Výzvy Kritéria pro hodnocení a výběr projektů.</w:t>
      </w:r>
    </w:p>
    <w:p w14:paraId="2171E5BA" w14:textId="18A82020" w:rsidR="00C43157" w:rsidRDefault="004D29B7" w:rsidP="00FE7322">
      <w:pPr>
        <w:pStyle w:val="Odstavecseseznamem"/>
        <w:ind w:left="385"/>
        <w:jc w:val="both"/>
      </w:pPr>
      <w:r>
        <w:t xml:space="preserve">Žadatel s Poskytovatelem komunikuje elektronicky prostřednictvím </w:t>
      </w:r>
      <w:r w:rsidR="000D56C4">
        <w:t>datové schránky Národního úřadu pro kybernetickou a informační bezpečnost</w:t>
      </w:r>
      <w:r w:rsidR="003B7CB9">
        <w:t xml:space="preserve"> </w:t>
      </w:r>
      <w:r w:rsidR="0020045B" w:rsidRPr="0064123A">
        <w:t>ID</w:t>
      </w:r>
      <w:r w:rsidR="0020045B" w:rsidRPr="00852A51">
        <w:t>: zzfnkp3.</w:t>
      </w:r>
      <w:r w:rsidR="0020045B" w:rsidDel="0020045B">
        <w:t xml:space="preserve"> </w:t>
      </w:r>
    </w:p>
    <w:p w14:paraId="3897EABB" w14:textId="7F496F5C" w:rsidR="00254AFE" w:rsidRPr="002A34F8" w:rsidRDefault="004D29B7" w:rsidP="00852A51">
      <w:pPr>
        <w:pStyle w:val="Odstavecseseznamem"/>
        <w:ind w:left="385"/>
        <w:jc w:val="both"/>
      </w:pPr>
      <w:r>
        <w:t xml:space="preserve">  </w:t>
      </w:r>
      <w:r w:rsidR="00C43157">
        <w:t xml:space="preserve"> </w:t>
      </w:r>
    </w:p>
    <w:p w14:paraId="3B2FE687" w14:textId="3F42253E" w:rsidR="00B21223" w:rsidRPr="00B21223" w:rsidRDefault="00CA3D67" w:rsidP="00B54582">
      <w:pPr>
        <w:pStyle w:val="Nadpis1"/>
      </w:pPr>
      <w:r>
        <w:t>2</w:t>
      </w:r>
      <w:r w:rsidR="00B21223">
        <w:t xml:space="preserve">. </w:t>
      </w:r>
      <w:r w:rsidR="00D462CD">
        <w:t>Právní rámec</w:t>
      </w:r>
    </w:p>
    <w:p w14:paraId="37AB9D30" w14:textId="77777777" w:rsidR="00D21DC9" w:rsidRPr="00D054F4" w:rsidRDefault="00D21DC9" w:rsidP="00D054F4">
      <w:pPr>
        <w:pStyle w:val="Zkladntext"/>
      </w:pPr>
      <w:r w:rsidRPr="00D054F4">
        <w:t>Výzva je realizována podle:</w:t>
      </w:r>
    </w:p>
    <w:p w14:paraId="4DBA139A" w14:textId="77777777" w:rsidR="00D054F4" w:rsidRDefault="008C76FC" w:rsidP="00CE365D">
      <w:pPr>
        <w:pStyle w:val="Zkladntext"/>
        <w:numPr>
          <w:ilvl w:val="0"/>
          <w:numId w:val="6"/>
        </w:numPr>
        <w:jc w:val="both"/>
      </w:pPr>
      <w:r w:rsidRPr="00D054F4">
        <w:t>zákona č. 218/2000 Sb., o rozpočtových pravidlech a o změně některých souvisejících zákonů</w:t>
      </w:r>
      <w:r w:rsidR="0069010A" w:rsidRPr="00D054F4">
        <w:t xml:space="preserve"> </w:t>
      </w:r>
      <w:r w:rsidRPr="00D054F4">
        <w:t>(rozpočtová pravidla),</w:t>
      </w:r>
    </w:p>
    <w:p w14:paraId="768EDAA0" w14:textId="77777777" w:rsidR="00D054F4" w:rsidRDefault="008C76FC" w:rsidP="00CE365D">
      <w:pPr>
        <w:pStyle w:val="Zkladntext"/>
        <w:numPr>
          <w:ilvl w:val="0"/>
          <w:numId w:val="6"/>
        </w:numPr>
        <w:jc w:val="both"/>
      </w:pPr>
      <w:r w:rsidRPr="00D054F4">
        <w:t>zákona č. 320/2001 Sb., o finanční kontrole ve veřejné správě a o změně některých zákonů a zákonem č. 255/2012 Sb., o kontrole, ve znění pozdějších předpisů,</w:t>
      </w:r>
    </w:p>
    <w:p w14:paraId="61662A9A" w14:textId="77777777" w:rsidR="00A46123" w:rsidRPr="00D054F4" w:rsidRDefault="008C76FC" w:rsidP="00CE365D">
      <w:pPr>
        <w:pStyle w:val="Zkladntext"/>
        <w:numPr>
          <w:ilvl w:val="0"/>
          <w:numId w:val="6"/>
        </w:numPr>
        <w:jc w:val="both"/>
      </w:pPr>
      <w:r w:rsidRPr="00D054F4">
        <w:t>ostatních souvisejících předpisů.</w:t>
      </w:r>
    </w:p>
    <w:p w14:paraId="277D472A" w14:textId="54E677AA" w:rsidR="006D59DA" w:rsidRPr="00D054F4" w:rsidRDefault="006D59DA" w:rsidP="00CE365D">
      <w:pPr>
        <w:pStyle w:val="Zkladntext"/>
        <w:jc w:val="both"/>
      </w:pPr>
      <w:r w:rsidRPr="00D054F4">
        <w:t>Podpořené projekty budou financovány v rámci Národního plánu obnovy ČR, proto se</w:t>
      </w:r>
      <w:r w:rsidR="001B2B58" w:rsidRPr="00D054F4">
        <w:t xml:space="preserve"> </w:t>
      </w:r>
      <w:r w:rsidRPr="00D054F4">
        <w:t>zároveň tato veřejná soutěž řídí:</w:t>
      </w:r>
    </w:p>
    <w:p w14:paraId="0C1FDB58" w14:textId="06BC8DAF" w:rsidR="00D054F4" w:rsidRDefault="00D45596" w:rsidP="00CE365D">
      <w:pPr>
        <w:pStyle w:val="Zkladntext"/>
        <w:numPr>
          <w:ilvl w:val="0"/>
          <w:numId w:val="7"/>
        </w:numPr>
        <w:jc w:val="both"/>
      </w:pPr>
      <w:r w:rsidRPr="00D054F4">
        <w:t>Nařízením Evropského parlamentu a Rady (EU) č. 2021/241 ze dne 12. února 2021, kterým se zřizuje</w:t>
      </w:r>
      <w:r w:rsidR="001B2B58" w:rsidRPr="00D054F4">
        <w:t xml:space="preserve"> </w:t>
      </w:r>
      <w:r w:rsidRPr="00D054F4">
        <w:t>Nástroj pro oživení a odolnost (</w:t>
      </w:r>
      <w:r w:rsidR="00D909BB">
        <w:t xml:space="preserve">ve zkratce </w:t>
      </w:r>
      <w:r w:rsidRPr="00D054F4">
        <w:t>„Nařízení RRF“),</w:t>
      </w:r>
    </w:p>
    <w:p w14:paraId="3D2E8494" w14:textId="4BFB8D93" w:rsidR="00D054F4" w:rsidRDefault="00D45596" w:rsidP="00CE365D">
      <w:pPr>
        <w:pStyle w:val="Zkladntext"/>
        <w:numPr>
          <w:ilvl w:val="0"/>
          <w:numId w:val="7"/>
        </w:numPr>
        <w:jc w:val="both"/>
      </w:pPr>
      <w:r w:rsidRPr="00D054F4">
        <w:t>Nařízením Evropského parlamentu a Rady (EU, Euratom) č. 2018/1046 ze dne 18. července 2018, kterým se stanoví finanční pravidla pro souhrnný rozpočet Unie (dále jen „Finanční nařízení“),</w:t>
      </w:r>
    </w:p>
    <w:p w14:paraId="0C731573" w14:textId="5B41ABAD" w:rsidR="00FA2513" w:rsidRPr="00852A51" w:rsidRDefault="00FA2513" w:rsidP="00CE365D">
      <w:pPr>
        <w:pStyle w:val="Zkladntext"/>
        <w:numPr>
          <w:ilvl w:val="0"/>
          <w:numId w:val="7"/>
        </w:numPr>
        <w:jc w:val="both"/>
      </w:pPr>
      <w:r>
        <w:rPr>
          <w:rFonts w:asciiTheme="majorHAnsi" w:hAnsiTheme="majorHAnsi" w:cstheme="majorHAnsi"/>
        </w:rPr>
        <w:t>Přílohou prováděcího rozhodnutí Rady o schválení posouzení plánu pro oživení a odolnost Česka č. 2021/0245(NLE) ze dne 31. srpna 2021,</w:t>
      </w:r>
    </w:p>
    <w:p w14:paraId="0163F041" w14:textId="6FA19940" w:rsidR="00FA2513" w:rsidRPr="00852A51" w:rsidRDefault="00FA2513" w:rsidP="00852A51">
      <w:pPr>
        <w:widowControl/>
        <w:numPr>
          <w:ilvl w:val="0"/>
          <w:numId w:val="7"/>
        </w:numPr>
        <w:autoSpaceDE/>
        <w:autoSpaceDN/>
        <w:jc w:val="both"/>
        <w:rPr>
          <w:rFonts w:asciiTheme="majorHAnsi" w:hAnsiTheme="majorHAnsi" w:cstheme="majorHAnsi"/>
        </w:rPr>
      </w:pPr>
      <w:r>
        <w:rPr>
          <w:rFonts w:asciiTheme="majorHAnsi" w:hAnsiTheme="majorHAnsi" w:cstheme="majorHAnsi"/>
          <w:sz w:val="24"/>
          <w:szCs w:val="24"/>
        </w:rPr>
        <w:lastRenderedPageBreak/>
        <w:t>Přílohou rozhodnutí Komise, kterým se schvalují provozní ujednání mezi Komisí a Českou republikou podle nařízení (EU) 2021/241</w:t>
      </w:r>
      <w:r w:rsidRPr="00A6601F">
        <w:rPr>
          <w:rFonts w:asciiTheme="majorHAnsi" w:hAnsiTheme="majorHAnsi" w:cstheme="majorHAnsi"/>
          <w:sz w:val="24"/>
          <w:szCs w:val="24"/>
        </w:rPr>
        <w:t xml:space="preserve"> </w:t>
      </w:r>
      <w:r w:rsidRPr="003D369F">
        <w:rPr>
          <w:rFonts w:asciiTheme="majorHAnsi" w:hAnsiTheme="majorHAnsi" w:cstheme="majorHAnsi"/>
          <w:sz w:val="24"/>
          <w:szCs w:val="24"/>
        </w:rPr>
        <w:t>ze dne 12. února 2021</w:t>
      </w:r>
      <w:r>
        <w:rPr>
          <w:rFonts w:asciiTheme="majorHAnsi" w:hAnsiTheme="majorHAnsi" w:cstheme="majorHAnsi"/>
          <w:sz w:val="24"/>
          <w:szCs w:val="24"/>
        </w:rPr>
        <w:t xml:space="preserve">, </w:t>
      </w:r>
    </w:p>
    <w:p w14:paraId="59A33383" w14:textId="35982E4E" w:rsidR="00D909BB" w:rsidRDefault="00D909BB" w:rsidP="00CE365D">
      <w:pPr>
        <w:pStyle w:val="Zkladntext"/>
        <w:numPr>
          <w:ilvl w:val="0"/>
          <w:numId w:val="7"/>
        </w:numPr>
        <w:jc w:val="both"/>
      </w:pPr>
      <w:r>
        <w:t>Sdělení Komise Rámec pro státní podporu výzkumu, vývoje a inovací (2022/C 414/01)</w:t>
      </w:r>
    </w:p>
    <w:p w14:paraId="3CA0F1CA" w14:textId="77777777" w:rsidR="00D45596" w:rsidRPr="00D054F4" w:rsidRDefault="00D45596" w:rsidP="00852A51">
      <w:pPr>
        <w:pStyle w:val="Zkladntext"/>
        <w:jc w:val="both"/>
      </w:pPr>
      <w:r w:rsidRPr="00D054F4">
        <w:t xml:space="preserve">a dalšími souvisejícími právními předpisy a metodickými pokyny NPO, viz </w:t>
      </w:r>
      <w:hyperlink r:id="rId10">
        <w:r w:rsidRPr="00D054F4">
          <w:t>www.planobnovycr.cz</w:t>
        </w:r>
      </w:hyperlink>
      <w:r w:rsidRPr="00D054F4">
        <w:t>.</w:t>
      </w:r>
    </w:p>
    <w:p w14:paraId="0568ABED" w14:textId="43AB6D2A" w:rsidR="00031AEA" w:rsidRPr="00B54582" w:rsidRDefault="00544497" w:rsidP="00B54582">
      <w:pPr>
        <w:pStyle w:val="Nadpis1"/>
      </w:pPr>
      <w:r>
        <w:t>3</w:t>
      </w:r>
      <w:r w:rsidR="00B21223">
        <w:t xml:space="preserve">. </w:t>
      </w:r>
      <w:r w:rsidR="00031AEA">
        <w:t>Předmět Výzvy</w:t>
      </w:r>
    </w:p>
    <w:p w14:paraId="1B9858E6" w14:textId="703F957F" w:rsidR="00031AEA" w:rsidRPr="00B54582" w:rsidRDefault="00A90DAA" w:rsidP="00CE365D">
      <w:pPr>
        <w:pStyle w:val="Zkladntext"/>
        <w:jc w:val="both"/>
      </w:pPr>
      <w:r w:rsidRPr="00B54582">
        <w:t>Hlavním předmětem této národní kofinan</w:t>
      </w:r>
      <w:r w:rsidR="00FE7322">
        <w:t>cované</w:t>
      </w:r>
      <w:r w:rsidRPr="00B54582">
        <w:t xml:space="preserve"> výzvy je podpora </w:t>
      </w:r>
      <w:r w:rsidR="00C0519E">
        <w:t xml:space="preserve">projektu </w:t>
      </w:r>
      <w:r w:rsidRPr="00B54582">
        <w:t xml:space="preserve">na </w:t>
      </w:r>
      <w:r w:rsidR="00C0519E" w:rsidRPr="00C0519E">
        <w:t xml:space="preserve">vytvoření páteřní optické kvantové sítě v ČR, která se napojí na okolní státy a včlení do Evropské kvantové komunikační infrastruktury. Toto umožní testování a provozování celoevropského systému kvantové komunikace a jeho integrace do stávajících telekomunikačních technologií v ČR. A to na základě podpory z </w:t>
      </w:r>
      <w:r w:rsidR="003C6119">
        <w:t>výzvy</w:t>
      </w:r>
      <w:r w:rsidR="00C0519E" w:rsidRPr="00C0519E">
        <w:t xml:space="preserve"> programu Digitální Evropa</w:t>
      </w:r>
      <w:r w:rsidR="003C6119">
        <w:t xml:space="preserve"> </w:t>
      </w:r>
      <w:r w:rsidR="003C6119" w:rsidRPr="00B54582">
        <w:t>DIGITAL-2021-QCI-01-DEPLOY-NATIONAL</w:t>
      </w:r>
      <w:r w:rsidR="0033411A">
        <w:t>. Z této výzvy nyní</w:t>
      </w:r>
      <w:r w:rsidR="00C0519E" w:rsidRPr="00C0519E">
        <w:t xml:space="preserve">, </w:t>
      </w:r>
      <w:proofErr w:type="gramStart"/>
      <w:r w:rsidR="0033411A">
        <w:t>obdrží</w:t>
      </w:r>
      <w:proofErr w:type="gramEnd"/>
      <w:r w:rsidR="0033411A" w:rsidRPr="00C0519E">
        <w:t xml:space="preserve"> </w:t>
      </w:r>
      <w:r w:rsidR="00C0519E" w:rsidRPr="00C0519E">
        <w:t xml:space="preserve">tato investice </w:t>
      </w:r>
      <w:r w:rsidR="0033411A">
        <w:t xml:space="preserve">i </w:t>
      </w:r>
      <w:r w:rsidR="00C0519E" w:rsidRPr="00C0519E">
        <w:t>národní kofinancování.</w:t>
      </w:r>
      <w:r w:rsidR="00C0519E">
        <w:t xml:space="preserve"> </w:t>
      </w:r>
    </w:p>
    <w:p w14:paraId="3E973311" w14:textId="6C8F86E3" w:rsidR="003F0FEA" w:rsidRPr="00B54582" w:rsidRDefault="00804109" w:rsidP="00CE365D">
      <w:pPr>
        <w:pStyle w:val="Zkladntext"/>
        <w:jc w:val="both"/>
      </w:pPr>
      <w:r w:rsidRPr="00804109">
        <w:t>Cílem investice je vybudování optické kvantové komunikační sítě v Česku v souladu s prioritami programu Digitální Evropa. To zahrnuje vytvoření páteřní sítě a připojených vedlejších větví, propojení kritické a bezpečnostní infrastruktury i testování a odbornou přípravu odborníků. Síť musí být schopná rychlého přenosu a zpracování dat a propojí nejrelevantnější zúčastněné strany určené ve fázi plánování a také bude možné ji propojit s podobnou infrastrukturou v sousedních zemích. Investice bude uzavřena ukončenou zkušební a pilotní provozní fází provedenou do 31. prosince 2025 a bude zahrnovat alespoň spojení mezi Prahou, Brnem a Ostravou o celkové optické délce 400 km se šesti segmenty kvantové distribuce klíče (QKD), realizaci dvou vedlejších metropolitních větví na bázi komerčního zařízení QKD a dvou dalších větví na bázi QKD pro účely experimentu a testování jejich použití</w:t>
      </w:r>
      <w:r>
        <w:t>. Souvisejícími vedlejšími úkoly jsou také navazující výukové, školící, propagační a testovací aktivity.</w:t>
      </w:r>
    </w:p>
    <w:p w14:paraId="498EDFE7" w14:textId="77777777" w:rsidR="00B7604E" w:rsidRPr="00B54582" w:rsidRDefault="007E38F3" w:rsidP="00CE365D">
      <w:pPr>
        <w:pStyle w:val="Zkladntext"/>
        <w:jc w:val="both"/>
      </w:pPr>
      <w:r>
        <w:t>Tyto aktivity</w:t>
      </w:r>
      <w:r w:rsidR="003F0FEA" w:rsidRPr="00B54582">
        <w:t xml:space="preserve"> budou p</w:t>
      </w:r>
      <w:r w:rsidR="00B718C7">
        <w:t>rovozovány</w:t>
      </w:r>
      <w:r w:rsidR="003F0FEA" w:rsidRPr="00B54582">
        <w:t xml:space="preserve"> na otevřeném, transparentním a nediskriminačním základě a</w:t>
      </w:r>
      <w:r w:rsidR="00CB5894">
        <w:t> </w:t>
      </w:r>
      <w:r w:rsidR="003F0FEA" w:rsidRPr="00B54582">
        <w:t xml:space="preserve">budou určeny především (1) </w:t>
      </w:r>
      <w:r w:rsidR="0049089C" w:rsidRPr="00B54582">
        <w:t xml:space="preserve">organizacím veřejného sektoru, které vykonávají neekonomické aktivity </w:t>
      </w:r>
      <w:r w:rsidR="00B718C7">
        <w:t>a (2) soukromým subjektům se zájmem o kvantové komunikační technologie.</w:t>
      </w:r>
    </w:p>
    <w:p w14:paraId="09307AC3" w14:textId="5A4059A5" w:rsidR="00B7604E" w:rsidRPr="00C865EE" w:rsidRDefault="00544497" w:rsidP="00C865EE">
      <w:pPr>
        <w:pStyle w:val="Nadpis1"/>
      </w:pPr>
      <w:r>
        <w:t>4</w:t>
      </w:r>
      <w:r w:rsidR="00B7604E">
        <w:t>. Oprávněný žadatel o poskytnutí dotace</w:t>
      </w:r>
    </w:p>
    <w:p w14:paraId="23E23627" w14:textId="71BBF511" w:rsidR="00EB1D27" w:rsidRPr="00793516" w:rsidRDefault="00EB1D27" w:rsidP="00C865EE">
      <w:pPr>
        <w:pStyle w:val="Zkladntext"/>
        <w:rPr>
          <w:b/>
          <w:bCs/>
        </w:rPr>
      </w:pPr>
      <w:bookmarkStart w:id="3" w:name="_Hlk147232896"/>
      <w:r w:rsidRPr="00793516">
        <w:rPr>
          <w:b/>
          <w:bCs/>
        </w:rPr>
        <w:t>Oprávněný žadatel o poskytnutí dotace (</w:t>
      </w:r>
      <w:r w:rsidR="0076054F">
        <w:rPr>
          <w:b/>
          <w:bCs/>
        </w:rPr>
        <w:t>dále jen „</w:t>
      </w:r>
      <w:r w:rsidRPr="00793516">
        <w:rPr>
          <w:b/>
          <w:bCs/>
        </w:rPr>
        <w:t>Žadatel</w:t>
      </w:r>
      <w:r w:rsidR="0076054F">
        <w:rPr>
          <w:b/>
          <w:bCs/>
        </w:rPr>
        <w:t>“</w:t>
      </w:r>
      <w:r w:rsidRPr="00793516">
        <w:rPr>
          <w:b/>
          <w:bCs/>
        </w:rPr>
        <w:t>) musí k datu podání žádosti o</w:t>
      </w:r>
      <w:r w:rsidR="0076054F">
        <w:rPr>
          <w:b/>
          <w:bCs/>
        </w:rPr>
        <w:t> </w:t>
      </w:r>
      <w:r w:rsidRPr="00793516">
        <w:rPr>
          <w:b/>
          <w:bCs/>
        </w:rPr>
        <w:t>poskytnutí dotace splňovat</w:t>
      </w:r>
      <w:r w:rsidR="00793516" w:rsidRPr="00793516">
        <w:rPr>
          <w:b/>
          <w:bCs/>
        </w:rPr>
        <w:t xml:space="preserve"> </w:t>
      </w:r>
      <w:r w:rsidRPr="00793516">
        <w:rPr>
          <w:b/>
          <w:bCs/>
        </w:rPr>
        <w:t>následující podmínky:</w:t>
      </w:r>
    </w:p>
    <w:p w14:paraId="10EDD043" w14:textId="57C471AC" w:rsidR="00E67740" w:rsidRPr="00C865EE" w:rsidRDefault="00001169" w:rsidP="00E67740">
      <w:pPr>
        <w:pStyle w:val="Zkladntext"/>
        <w:jc w:val="both"/>
      </w:pPr>
      <w:bookmarkStart w:id="4" w:name="_Hlk147232838"/>
      <w:r>
        <w:t xml:space="preserve">Způsobilým </w:t>
      </w:r>
      <w:r w:rsidR="00640400">
        <w:t>Ž</w:t>
      </w:r>
      <w:r w:rsidR="00887144" w:rsidRPr="00C865EE">
        <w:t xml:space="preserve">adatelem je </w:t>
      </w:r>
      <w:r w:rsidR="00D909BB">
        <w:t>subjekt</w:t>
      </w:r>
      <w:r w:rsidR="00497D08">
        <w:t>/sdružení subjektů</w:t>
      </w:r>
      <w:r w:rsidR="00887144" w:rsidRPr="00C865EE">
        <w:t xml:space="preserve">, </w:t>
      </w:r>
      <w:r w:rsidR="00FE7322">
        <w:t>který</w:t>
      </w:r>
      <w:r w:rsidR="00497D08">
        <w:t>/é</w:t>
      </w:r>
      <w:r w:rsidR="00FE7322">
        <w:t xml:space="preserve"> splňuje podmínky </w:t>
      </w:r>
      <w:r w:rsidR="00656D03">
        <w:t xml:space="preserve">definice </w:t>
      </w:r>
      <w:r w:rsidR="00FE7322">
        <w:t>pro organizaci</w:t>
      </w:r>
      <w:r w:rsidR="00D909BB">
        <w:t xml:space="preserve"> pro výzkum a</w:t>
      </w:r>
      <w:r w:rsidR="006E6E16">
        <w:t> </w:t>
      </w:r>
      <w:r w:rsidR="00D909BB">
        <w:t xml:space="preserve">šíření znalostí dle </w:t>
      </w:r>
      <w:r w:rsidR="00656D03">
        <w:t>Sdělení Komise Rámec pro státní podporu výzkumu, vývoje a inovací (2022/C 414/01)</w:t>
      </w:r>
      <w:r w:rsidR="00AA3D2F">
        <w:t xml:space="preserve">, jehož hospodářské činnosti nepřesahují 20 % </w:t>
      </w:r>
      <w:r w:rsidR="00AA3D2F" w:rsidRPr="00AA3D2F">
        <w:t>celkové roční kapacity příslušné organizace</w:t>
      </w:r>
      <w:r w:rsidR="00656D03">
        <w:t xml:space="preserve">, </w:t>
      </w:r>
      <w:r w:rsidR="00887144" w:rsidRPr="00C865EE">
        <w:t>kter</w:t>
      </w:r>
      <w:r w:rsidR="00DB3AD9">
        <w:t>ý</w:t>
      </w:r>
      <w:r w:rsidR="00497D08">
        <w:t>/é</w:t>
      </w:r>
      <w:r w:rsidR="00887144" w:rsidRPr="00C865EE">
        <w:t xml:space="preserve"> podepsal</w:t>
      </w:r>
      <w:r w:rsidR="00497D08">
        <w:t>/o</w:t>
      </w:r>
      <w:r w:rsidR="00887144" w:rsidRPr="00C865EE">
        <w:t xml:space="preserve"> Grant</w:t>
      </w:r>
      <w:r w:rsidR="00793516">
        <w:t xml:space="preserve"> </w:t>
      </w:r>
      <w:proofErr w:type="spellStart"/>
      <w:r w:rsidR="00887144" w:rsidRPr="00C865EE">
        <w:t>Agreement</w:t>
      </w:r>
      <w:proofErr w:type="spellEnd"/>
      <w:r w:rsidR="00887144" w:rsidRPr="00C865EE">
        <w:t xml:space="preserve"> s Evropskou unií zastoupenou Evropskou komisí v rámci výzvy</w:t>
      </w:r>
      <w:r w:rsidR="00B24886">
        <w:t xml:space="preserve"> (tématu) </w:t>
      </w:r>
      <w:r w:rsidR="00887144" w:rsidRPr="00C865EE">
        <w:t xml:space="preserve">programu Digitální Evropa: </w:t>
      </w:r>
      <w:r w:rsidR="00AF0942" w:rsidRPr="00B54582">
        <w:t>DIGITAL-2021-QCI-01-DEPLOY-NATIONAL</w:t>
      </w:r>
      <w:r w:rsidR="00887144" w:rsidRPr="00C865EE">
        <w:t>.</w:t>
      </w:r>
      <w:r w:rsidR="00DB3AD9">
        <w:t xml:space="preserve"> </w:t>
      </w:r>
      <w:r w:rsidR="0002733A">
        <w:t xml:space="preserve">Pro odstranění všech pochybností </w:t>
      </w:r>
      <w:r w:rsidR="00497D08">
        <w:t>uvádíme, že v</w:t>
      </w:r>
      <w:r w:rsidR="00DB3AD9">
        <w:t>ýše zmíněné podmínky</w:t>
      </w:r>
      <w:r w:rsidR="00D84801">
        <w:t>, tj.</w:t>
      </w:r>
      <w:r w:rsidR="00DB3AD9">
        <w:t xml:space="preserve"> </w:t>
      </w:r>
      <w:r w:rsidR="00E67740">
        <w:t xml:space="preserve">naplnění </w:t>
      </w:r>
      <w:r w:rsidR="00DB3AD9">
        <w:t xml:space="preserve">definice </w:t>
      </w:r>
      <w:r w:rsidR="00E67740">
        <w:t>„</w:t>
      </w:r>
      <w:r w:rsidR="00DB3AD9">
        <w:t>organizac</w:t>
      </w:r>
      <w:r w:rsidR="00D84801">
        <w:t>e</w:t>
      </w:r>
      <w:r w:rsidR="00DB3AD9">
        <w:t xml:space="preserve"> pro výzkum a šíření znalostí</w:t>
      </w:r>
      <w:r w:rsidR="00E67740">
        <w:t>“</w:t>
      </w:r>
      <w:r w:rsidR="00D84801">
        <w:t xml:space="preserve"> a další podmínky uvedené v odst. 19, 20 a 21</w:t>
      </w:r>
      <w:r w:rsidR="007C303D" w:rsidRPr="007C303D">
        <w:t xml:space="preserve"> Rámc</w:t>
      </w:r>
      <w:r w:rsidR="007C303D">
        <w:t>e</w:t>
      </w:r>
      <w:r w:rsidR="007C303D" w:rsidRPr="007C303D">
        <w:t xml:space="preserve"> pro státní podporu výzkumu, vývoje a inovací (2022/C 414/01)</w:t>
      </w:r>
      <w:r w:rsidR="00DB3AD9">
        <w:t xml:space="preserve"> musí splňovat každý člen</w:t>
      </w:r>
      <w:r w:rsidR="00497D08">
        <w:t xml:space="preserve"> sdružení</w:t>
      </w:r>
      <w:r w:rsidR="00E67740">
        <w:t>, ale též každý příjemce podpory, jedná-li se o jiný subjekt, než je Žadatel</w:t>
      </w:r>
      <w:r w:rsidR="007C303D">
        <w:t>/člen sdružení</w:t>
      </w:r>
      <w:r w:rsidR="00DB3AD9">
        <w:t>.</w:t>
      </w:r>
    </w:p>
    <w:p w14:paraId="0E5B5683" w14:textId="77777777" w:rsidR="00E67740" w:rsidRDefault="00E67740" w:rsidP="00E67740"/>
    <w:p w14:paraId="38442932" w14:textId="61128D98" w:rsidR="00EB1D27" w:rsidRPr="00C865EE" w:rsidRDefault="00EB1D27" w:rsidP="00E77012">
      <w:pPr>
        <w:pStyle w:val="Zkladntext"/>
        <w:jc w:val="both"/>
      </w:pPr>
    </w:p>
    <w:bookmarkEnd w:id="3"/>
    <w:bookmarkEnd w:id="4"/>
    <w:p w14:paraId="29ED3164" w14:textId="5F8C4506" w:rsidR="00887144" w:rsidRPr="00C865EE" w:rsidRDefault="00876FDE" w:rsidP="00E77012">
      <w:pPr>
        <w:pStyle w:val="Zkladntext"/>
        <w:jc w:val="both"/>
      </w:pPr>
      <w:r w:rsidRPr="00C865EE">
        <w:lastRenderedPageBreak/>
        <w:t>Žadatel</w:t>
      </w:r>
      <w:r w:rsidR="007E713A">
        <w:t>, resp.</w:t>
      </w:r>
      <w:r w:rsidRPr="00C865EE">
        <w:t xml:space="preserve"> členové konsorcia dále splňují veškeré podmínky vyplývající pro žadatele o</w:t>
      </w:r>
      <w:r w:rsidR="00370C48">
        <w:t> </w:t>
      </w:r>
      <w:r w:rsidRPr="00C865EE">
        <w:t>podporu z</w:t>
      </w:r>
      <w:r w:rsidR="00B1682F">
        <w:t xml:space="preserve"> </w:t>
      </w:r>
      <w:r w:rsidRPr="00C865EE">
        <w:t>prostředků dle Nařízení RRF z příslušné legislativy a metodik NPO, zejména neexistuje střet zájmů mezi osobou žadatele a ostatních členů konsorcia a jeho zainteresovaných osob na straně jedné a poskytovatelem na straně druhé, ani nedochází poskytnutím podpory tomuto žadateli k jinému ohrožení finančních zájmů Evropské unie ve smyslu článku 22 Nařízení RRF.</w:t>
      </w:r>
    </w:p>
    <w:p w14:paraId="0B8C9516" w14:textId="2340E939" w:rsidR="008E7A6F" w:rsidRPr="00C865EE" w:rsidRDefault="008E7A6F" w:rsidP="00E77012">
      <w:pPr>
        <w:pStyle w:val="Zkladntext"/>
        <w:jc w:val="both"/>
      </w:pPr>
      <w:r w:rsidRPr="00C865EE">
        <w:t>Žadatel</w:t>
      </w:r>
      <w:r w:rsidR="007E713A">
        <w:t>, resp.</w:t>
      </w:r>
      <w:r w:rsidRPr="00C865EE">
        <w:t xml:space="preserve"> členové konsorcia dále splňují následující podmínky:</w:t>
      </w:r>
    </w:p>
    <w:p w14:paraId="2B40129C" w14:textId="77777777" w:rsidR="00B1682F" w:rsidRDefault="008C2F02" w:rsidP="00E77012">
      <w:pPr>
        <w:pStyle w:val="Zkladntext"/>
        <w:numPr>
          <w:ilvl w:val="0"/>
          <w:numId w:val="8"/>
        </w:numPr>
        <w:jc w:val="both"/>
      </w:pPr>
      <w:r w:rsidRPr="00C865EE">
        <w:t>Zajistili zápis zákonem požadovaných údajů o svých skutečných majitelích ve smyslu zákona č. 37/2021</w:t>
      </w:r>
      <w:r w:rsidR="00B1682F">
        <w:t xml:space="preserve"> </w:t>
      </w:r>
      <w:r w:rsidRPr="00C865EE">
        <w:t>Sb., o evidenci skutečných majitelů, ve znění pozdějších předpisů.</w:t>
      </w:r>
    </w:p>
    <w:p w14:paraId="5416A531" w14:textId="77777777" w:rsidR="003E333A" w:rsidRDefault="001A3AA6" w:rsidP="00E77012">
      <w:pPr>
        <w:pStyle w:val="Zkladntext"/>
        <w:numPr>
          <w:ilvl w:val="0"/>
          <w:numId w:val="8"/>
        </w:numPr>
        <w:jc w:val="both"/>
      </w:pPr>
      <w:r w:rsidRPr="00C865EE">
        <w:t>Nejsou obchodní společností, v níž veřejný funkcionář nebo jím ovládaná osoba vlastní podíl</w:t>
      </w:r>
      <w:r w:rsidR="00B1682F">
        <w:t xml:space="preserve"> </w:t>
      </w:r>
      <w:r w:rsidRPr="00C865EE">
        <w:t>představující alespoň 25 % účasti společníka (§4c zákona č. 159/2006 Sb., o střetu zájmů, ve znění pozdějších předpisů (dále jen „zákon o střetu zájmů“)).</w:t>
      </w:r>
    </w:p>
    <w:p w14:paraId="03CC1D53" w14:textId="77777777" w:rsidR="003E333A" w:rsidRDefault="00813674" w:rsidP="00E77012">
      <w:pPr>
        <w:pStyle w:val="Zkladntext"/>
        <w:numPr>
          <w:ilvl w:val="0"/>
          <w:numId w:val="8"/>
        </w:numPr>
        <w:jc w:val="both"/>
      </w:pPr>
      <w:r w:rsidRPr="00C865EE">
        <w:t>Žádný skutečný majitel žadatele a ostatních členů konsorcia není uveden mezi osobami, na něž je</w:t>
      </w:r>
      <w:r w:rsidR="003E333A">
        <w:t xml:space="preserve"> </w:t>
      </w:r>
      <w:r w:rsidRPr="00C865EE">
        <w:t>uvalena sankce uplatnitelná podle zákona č. 69/2006 Sb., o provádění mezinárodních sankcí, či podle</w:t>
      </w:r>
      <w:r w:rsidR="003E333A">
        <w:t xml:space="preserve"> </w:t>
      </w:r>
      <w:r w:rsidRPr="00C865EE">
        <w:t>obdobných právních předpisů.</w:t>
      </w:r>
    </w:p>
    <w:p w14:paraId="488DA86F" w14:textId="745129EE" w:rsidR="003E333A" w:rsidRDefault="00F05034" w:rsidP="00E77012">
      <w:pPr>
        <w:pStyle w:val="Zkladntext"/>
        <w:numPr>
          <w:ilvl w:val="0"/>
          <w:numId w:val="8"/>
        </w:numPr>
        <w:jc w:val="both"/>
      </w:pPr>
      <w:r w:rsidRPr="00C865EE">
        <w:t>Nejsou podle přímo použitelného předpisu Evropské unie podnikem v obtížích.</w:t>
      </w:r>
      <w:r w:rsidR="00FE3C42">
        <w:rPr>
          <w:rStyle w:val="Znakapoznpodarou"/>
        </w:rPr>
        <w:footnoteReference w:id="2"/>
      </w:r>
    </w:p>
    <w:p w14:paraId="7D837566" w14:textId="77777777" w:rsidR="00813674" w:rsidRDefault="00230AFA" w:rsidP="00E77012">
      <w:pPr>
        <w:pStyle w:val="Zkladntext"/>
        <w:numPr>
          <w:ilvl w:val="0"/>
          <w:numId w:val="8"/>
        </w:numPr>
        <w:jc w:val="both"/>
      </w:pPr>
      <w:r w:rsidRPr="00C865EE">
        <w:t>Nemají žádné nedoplatky po lhůtě splatnosti ve vztahu k vybraným institucím</w:t>
      </w:r>
      <w:r w:rsidR="00742473">
        <w:rPr>
          <w:rStyle w:val="Znakapoznpodarou"/>
        </w:rPr>
        <w:footnoteReference w:id="3"/>
      </w:r>
      <w:r w:rsidRPr="00C865EE">
        <w:t>. Dohoda o splátkách nebo posečkání daně podle § 156 zákona č. 280/2009 Sb., daňový řád, nejsou stavem, kdy by byl</w:t>
      </w:r>
      <w:r w:rsidR="003E333A">
        <w:t xml:space="preserve"> </w:t>
      </w:r>
      <w:r w:rsidRPr="00C865EE">
        <w:t>Žadatel v prodlení.</w:t>
      </w:r>
    </w:p>
    <w:p w14:paraId="373BCA68" w14:textId="77777777" w:rsidR="007B3106" w:rsidRPr="007B3106" w:rsidRDefault="007B3106" w:rsidP="00E77012">
      <w:pPr>
        <w:pStyle w:val="Zkladntext"/>
        <w:numPr>
          <w:ilvl w:val="0"/>
          <w:numId w:val="8"/>
        </w:numPr>
        <w:jc w:val="both"/>
      </w:pPr>
      <w:r w:rsidRPr="007B3106">
        <w:t>Ne</w:t>
      </w:r>
      <w:r>
        <w:t>jsou</w:t>
      </w:r>
      <w:r w:rsidRPr="007B3106">
        <w:t xml:space="preserve"> podezřel</w:t>
      </w:r>
      <w:r>
        <w:t>í</w:t>
      </w:r>
      <w:r w:rsidRPr="007B3106">
        <w:t xml:space="preserve"> ze spáchání trestného činu podvodu nebo korupce ve smyslu zákona č. 40/2009 Sb., trestního zákoníku, ve znění pozdějších předpisů a že proti mně nebylo v této souvislosti zahájeno žádné trestní řízení.</w:t>
      </w:r>
    </w:p>
    <w:p w14:paraId="0BD0D778" w14:textId="2D00A56E" w:rsidR="007B3106" w:rsidRDefault="007B3106" w:rsidP="00E77012">
      <w:pPr>
        <w:pStyle w:val="Zkladntext"/>
        <w:numPr>
          <w:ilvl w:val="0"/>
          <w:numId w:val="8"/>
        </w:numPr>
        <w:jc w:val="both"/>
      </w:pPr>
      <w:r w:rsidRPr="007B3106">
        <w:t>Významně nepoškozuj</w:t>
      </w:r>
      <w:r>
        <w:t>í</w:t>
      </w:r>
      <w:r w:rsidRPr="007B3106">
        <w:t xml:space="preserve"> environmentální cíle dle čl. 17 Nařízení Evropského parlamentu a Rady EU 2020/852 ze dne 18. června 2020 o zřízení rámce pro usnadnění udržitelných investic a o změně nařízení (EU) 2019/2088</w:t>
      </w:r>
      <w:r w:rsidR="00C43157">
        <w:t>.</w:t>
      </w:r>
    </w:p>
    <w:p w14:paraId="3878360C" w14:textId="176431C0" w:rsidR="008D289E" w:rsidRDefault="008D289E" w:rsidP="008D289E">
      <w:pPr>
        <w:pStyle w:val="Zkladntext"/>
        <w:numPr>
          <w:ilvl w:val="0"/>
          <w:numId w:val="8"/>
        </w:numPr>
        <w:jc w:val="both"/>
      </w:pPr>
      <w:bookmarkStart w:id="5" w:name="_Hlk147145039"/>
      <w:r>
        <w:t xml:space="preserve">Plní povinnosti dle zákona č. 563/1991 Sb., zákona o účetnictví, ve znění pozdějších předpisů, zejména povinnost zveřejnit účetní závěrku v příslušném rejstříku ve smyslu zákona č. 304/2013 Sb., o veřejných rejstřících právnických a fyzických osob. Tento odstavec se týká jen těch subjektů, které takové povinnosti mají uloženy. Poskytovatel provede kontrolu dodržování této povinnosti za poslední dvě uzavřená účetní období, tedy období, za které žadatel podal daňová přiznání. V případě subjektů, které nemají tuto povinnost stanovenou zákonem za celé toto období, bude její plnění kontrolováno za období, za které mají tuto povinnost stanovenou. Příjemce je povinen tuto povinnost plnit po celou dobu realizace projektu. </w:t>
      </w:r>
    </w:p>
    <w:bookmarkEnd w:id="5"/>
    <w:p w14:paraId="76BE391B" w14:textId="725D490F" w:rsidR="008D289E" w:rsidRDefault="008D289E" w:rsidP="008D289E">
      <w:pPr>
        <w:pStyle w:val="Zkladntext"/>
        <w:ind w:left="720"/>
        <w:jc w:val="both"/>
      </w:pPr>
      <w:r>
        <w:t xml:space="preserve">Pokud žadatel před podáním žádosti o podporu bude mít podané daňové přiznání za bezprostředně předcházející účetní období, je povinen pro účely </w:t>
      </w:r>
      <w:r w:rsidR="00D87E34">
        <w:t>ž</w:t>
      </w:r>
      <w:r>
        <w:t xml:space="preserve">ádosti o podporu učinit podání účetní závěrky do příslušného rejstříku i za toto období, a to dříve, než </w:t>
      </w:r>
      <w:r>
        <w:lastRenderedPageBreak/>
        <w:t xml:space="preserve">bude žádost o podporu podána. </w:t>
      </w:r>
    </w:p>
    <w:p w14:paraId="7AA1BD56" w14:textId="77777777" w:rsidR="008D289E" w:rsidRDefault="008D289E" w:rsidP="008D289E">
      <w:pPr>
        <w:pStyle w:val="Zkladntext"/>
        <w:ind w:left="720"/>
        <w:jc w:val="both"/>
      </w:pPr>
      <w:r>
        <w:t xml:space="preserve">Za splnění povinnosti se považuje, pokud bylo před podáním žádosti učiněno podání do příslušného rejstříku, které vedlo k úspěšnému zveřejnění účetní závěrky splňující všechny náležitosti. Podání bude doloženo potvrzením elektronické podatelny Obchodního rejstříku, kopií samotného podání a dokumenty určenými k zveřejnění; </w:t>
      </w:r>
    </w:p>
    <w:p w14:paraId="29E98840" w14:textId="427BDFC2" w:rsidR="008D289E" w:rsidRPr="00C865EE" w:rsidRDefault="008D289E" w:rsidP="008D289E">
      <w:pPr>
        <w:pStyle w:val="Zkladntext"/>
        <w:numPr>
          <w:ilvl w:val="0"/>
          <w:numId w:val="8"/>
        </w:numPr>
        <w:jc w:val="both"/>
      </w:pPr>
      <w:r>
        <w:t>Nebyl mu vystaven inkasní příkaz v návaznosti na rozhodnutí Evropské komise o protiprávní podpoře a její neslučitelnosti s vnitřním trhem, který dosud nebyl splacen.</w:t>
      </w:r>
      <w:r w:rsidR="00FE3C42">
        <w:rPr>
          <w:rStyle w:val="Znakapoznpodarou"/>
        </w:rPr>
        <w:footnoteReference w:id="4"/>
      </w:r>
    </w:p>
    <w:p w14:paraId="65E6C858" w14:textId="36762881" w:rsidR="00656921" w:rsidRDefault="00544497" w:rsidP="00C865EE">
      <w:pPr>
        <w:pStyle w:val="Nadpis1"/>
      </w:pPr>
      <w:r>
        <w:t>5</w:t>
      </w:r>
      <w:r w:rsidR="00656921">
        <w:t xml:space="preserve">. </w:t>
      </w:r>
      <w:r w:rsidR="00637396">
        <w:t>Finanční náležitosti</w:t>
      </w:r>
    </w:p>
    <w:p w14:paraId="61A0C92F" w14:textId="58B55C0B" w:rsidR="00637396" w:rsidRDefault="0012479E" w:rsidP="004B2D9C">
      <w:pPr>
        <w:pStyle w:val="Zkladntext"/>
        <w:jc w:val="both"/>
      </w:pPr>
      <w:r>
        <w:t xml:space="preserve">Dotace bude poskytnuta v rámci Národního plánu obnovy, Komponenta </w:t>
      </w:r>
      <w:r w:rsidR="004A1C39" w:rsidRPr="004A1C39">
        <w:t>1.4 Digitální ekonomika a společnost, inovativní start-upy a nové technologie/</w:t>
      </w:r>
      <w:r w:rsidR="00C0519E">
        <w:t>Investice</w:t>
      </w:r>
      <w:r w:rsidR="00C0519E" w:rsidRPr="004A1C39">
        <w:t xml:space="preserve"> </w:t>
      </w:r>
      <w:r w:rsidR="004A1C39" w:rsidRPr="004A1C39">
        <w:t xml:space="preserve">3.1 Vybudování kvantové komunikační </w:t>
      </w:r>
      <w:r w:rsidR="00C0519E" w:rsidRPr="004A1C39">
        <w:t>infrastruktury</w:t>
      </w:r>
      <w:r w:rsidR="00C0519E">
        <w:t xml:space="preserve">. </w:t>
      </w:r>
    </w:p>
    <w:p w14:paraId="7052FB85" w14:textId="77777777" w:rsidR="00DD1F1D" w:rsidRDefault="00DD1F1D" w:rsidP="004B2D9C">
      <w:pPr>
        <w:pStyle w:val="Zkladntext"/>
        <w:jc w:val="both"/>
      </w:pPr>
      <w:r>
        <w:t>Dotace</w:t>
      </w:r>
      <w:r>
        <w:rPr>
          <w:spacing w:val="-8"/>
        </w:rPr>
        <w:t xml:space="preserve"> </w:t>
      </w:r>
      <w:r>
        <w:t>bude</w:t>
      </w:r>
      <w:r>
        <w:rPr>
          <w:spacing w:val="-8"/>
        </w:rPr>
        <w:t xml:space="preserve"> </w:t>
      </w:r>
      <w:r>
        <w:t>Žadateli</w:t>
      </w:r>
      <w:r>
        <w:rPr>
          <w:spacing w:val="-6"/>
        </w:rPr>
        <w:t xml:space="preserve"> </w:t>
      </w:r>
      <w:r>
        <w:t>(dále</w:t>
      </w:r>
      <w:r>
        <w:rPr>
          <w:spacing w:val="-8"/>
        </w:rPr>
        <w:t xml:space="preserve"> </w:t>
      </w:r>
      <w:r>
        <w:t>také</w:t>
      </w:r>
      <w:r>
        <w:rPr>
          <w:spacing w:val="-7"/>
        </w:rPr>
        <w:t xml:space="preserve"> </w:t>
      </w:r>
      <w:r>
        <w:t>„Příjemce“)</w:t>
      </w:r>
      <w:r>
        <w:rPr>
          <w:spacing w:val="-6"/>
        </w:rPr>
        <w:t xml:space="preserve"> </w:t>
      </w:r>
      <w:r>
        <w:t>poskytnuta</w:t>
      </w:r>
      <w:r>
        <w:rPr>
          <w:spacing w:val="-7"/>
        </w:rPr>
        <w:t xml:space="preserve"> </w:t>
      </w:r>
      <w:r>
        <w:t>na</w:t>
      </w:r>
      <w:r>
        <w:rPr>
          <w:spacing w:val="-6"/>
        </w:rPr>
        <w:t xml:space="preserve"> </w:t>
      </w:r>
      <w:r>
        <w:t>základě</w:t>
      </w:r>
      <w:r>
        <w:rPr>
          <w:spacing w:val="-8"/>
        </w:rPr>
        <w:t xml:space="preserve"> </w:t>
      </w:r>
      <w:r>
        <w:t>Rozhodnutí</w:t>
      </w:r>
      <w:r>
        <w:rPr>
          <w:spacing w:val="-6"/>
        </w:rPr>
        <w:t xml:space="preserve"> </w:t>
      </w:r>
      <w:r>
        <w:t>o</w:t>
      </w:r>
      <w:r>
        <w:rPr>
          <w:spacing w:val="-8"/>
        </w:rPr>
        <w:t xml:space="preserve"> </w:t>
      </w:r>
      <w:r>
        <w:t>poskytnutí</w:t>
      </w:r>
      <w:r>
        <w:rPr>
          <w:spacing w:val="-6"/>
        </w:rPr>
        <w:t xml:space="preserve"> </w:t>
      </w:r>
      <w:r>
        <w:t>dotace</w:t>
      </w:r>
      <w:r>
        <w:rPr>
          <w:spacing w:val="-8"/>
        </w:rPr>
        <w:t xml:space="preserve"> </w:t>
      </w:r>
      <w:r>
        <w:t>vydaného</w:t>
      </w:r>
      <w:r w:rsidR="00314543">
        <w:t xml:space="preserve"> </w:t>
      </w:r>
      <w:r>
        <w:t xml:space="preserve">Poskytovatelem dotace (dále jen „Rozhodnutí“). Maximální intenzita podpory činí maximálně 50 % celkových uznaných nákladů projektu. Maximální výše podpory je </w:t>
      </w:r>
      <w:r w:rsidR="00282A41">
        <w:t>130</w:t>
      </w:r>
      <w:r>
        <w:t xml:space="preserve"> mil. Kč. S ohledem na fakt, že je druhá polovina podpory na projekt poskytována z programu Digitální Evropa v eurech, může být výše poskytnuté dotace upravena</w:t>
      </w:r>
      <w:r>
        <w:rPr>
          <w:spacing w:val="-11"/>
        </w:rPr>
        <w:t xml:space="preserve"> </w:t>
      </w:r>
      <w:r>
        <w:t>(snížena)</w:t>
      </w:r>
      <w:r>
        <w:rPr>
          <w:spacing w:val="-10"/>
        </w:rPr>
        <w:t xml:space="preserve"> </w:t>
      </w:r>
      <w:r>
        <w:t>na</w:t>
      </w:r>
      <w:r>
        <w:rPr>
          <w:spacing w:val="-10"/>
        </w:rPr>
        <w:t xml:space="preserve"> </w:t>
      </w:r>
      <w:r>
        <w:t>základě</w:t>
      </w:r>
      <w:r>
        <w:rPr>
          <w:spacing w:val="-11"/>
        </w:rPr>
        <w:t xml:space="preserve"> </w:t>
      </w:r>
      <w:r>
        <w:t>kurzu</w:t>
      </w:r>
      <w:r>
        <w:rPr>
          <w:spacing w:val="-10"/>
        </w:rPr>
        <w:t xml:space="preserve"> </w:t>
      </w:r>
      <w:r>
        <w:t>ČNB</w:t>
      </w:r>
      <w:r>
        <w:rPr>
          <w:spacing w:val="-9"/>
        </w:rPr>
        <w:t xml:space="preserve"> </w:t>
      </w:r>
      <w:r>
        <w:t>platného</w:t>
      </w:r>
      <w:r>
        <w:rPr>
          <w:spacing w:val="-11"/>
        </w:rPr>
        <w:t xml:space="preserve"> </w:t>
      </w:r>
      <w:r>
        <w:t>ke</w:t>
      </w:r>
      <w:r>
        <w:rPr>
          <w:spacing w:val="-11"/>
        </w:rPr>
        <w:t xml:space="preserve"> </w:t>
      </w:r>
      <w:r>
        <w:t>dni</w:t>
      </w:r>
      <w:r>
        <w:rPr>
          <w:spacing w:val="-10"/>
        </w:rPr>
        <w:t xml:space="preserve"> </w:t>
      </w:r>
      <w:r>
        <w:t>vydání</w:t>
      </w:r>
      <w:r>
        <w:rPr>
          <w:spacing w:val="-11"/>
        </w:rPr>
        <w:t xml:space="preserve"> </w:t>
      </w:r>
      <w:r>
        <w:t>Rozhodnutí</w:t>
      </w:r>
      <w:r>
        <w:rPr>
          <w:spacing w:val="-8"/>
        </w:rPr>
        <w:t xml:space="preserve"> </w:t>
      </w:r>
      <w:r>
        <w:t>tak,</w:t>
      </w:r>
      <w:r>
        <w:rPr>
          <w:spacing w:val="-11"/>
        </w:rPr>
        <w:t xml:space="preserve"> </w:t>
      </w:r>
      <w:r>
        <w:t>aby</w:t>
      </w:r>
      <w:r>
        <w:rPr>
          <w:spacing w:val="-11"/>
        </w:rPr>
        <w:t xml:space="preserve"> </w:t>
      </w:r>
      <w:r>
        <w:t>byla</w:t>
      </w:r>
      <w:r>
        <w:rPr>
          <w:spacing w:val="-11"/>
        </w:rPr>
        <w:t xml:space="preserve"> </w:t>
      </w:r>
      <w:r>
        <w:t>dodržena</w:t>
      </w:r>
      <w:r>
        <w:rPr>
          <w:spacing w:val="-10"/>
        </w:rPr>
        <w:t xml:space="preserve"> </w:t>
      </w:r>
      <w:r>
        <w:t>maximální intenzita</w:t>
      </w:r>
      <w:r>
        <w:rPr>
          <w:spacing w:val="-1"/>
        </w:rPr>
        <w:t xml:space="preserve"> </w:t>
      </w:r>
      <w:r>
        <w:t>podpory.</w:t>
      </w:r>
    </w:p>
    <w:p w14:paraId="3A88094A" w14:textId="6DFC9E46" w:rsidR="008636CF" w:rsidRDefault="008636CF" w:rsidP="004B2D9C">
      <w:pPr>
        <w:pStyle w:val="Zkladntext"/>
        <w:jc w:val="both"/>
      </w:pPr>
      <w:r>
        <w:t>Způsobil</w:t>
      </w:r>
      <w:r w:rsidR="00CF08E1">
        <w:t>é</w:t>
      </w:r>
      <w:r>
        <w:t xml:space="preserve"> náklady projektu jsou v souladu se způsobilostí nákladů v programu Digitální Evropa (</w:t>
      </w:r>
      <w:r w:rsidR="00115553" w:rsidRPr="00B54582">
        <w:t>DIGITAL-2021-QCI-01-DEPLOY-NATIONAL</w:t>
      </w:r>
      <w:r>
        <w:t>)</w:t>
      </w:r>
      <w:r>
        <w:rPr>
          <w:spacing w:val="-12"/>
        </w:rPr>
        <w:t xml:space="preserve"> </w:t>
      </w:r>
      <w:r>
        <w:t>s</w:t>
      </w:r>
      <w:r>
        <w:rPr>
          <w:spacing w:val="-1"/>
        </w:rPr>
        <w:t xml:space="preserve"> </w:t>
      </w:r>
      <w:r>
        <w:t>tím,</w:t>
      </w:r>
      <w:r>
        <w:rPr>
          <w:spacing w:val="-10"/>
        </w:rPr>
        <w:t xml:space="preserve"> </w:t>
      </w:r>
      <w:r>
        <w:t>že</w:t>
      </w:r>
      <w:r>
        <w:rPr>
          <w:spacing w:val="-9"/>
        </w:rPr>
        <w:t xml:space="preserve"> </w:t>
      </w:r>
      <w:r>
        <w:t>na</w:t>
      </w:r>
      <w:r>
        <w:rPr>
          <w:spacing w:val="-9"/>
        </w:rPr>
        <w:t xml:space="preserve"> </w:t>
      </w:r>
      <w:r>
        <w:t>základě</w:t>
      </w:r>
      <w:r>
        <w:rPr>
          <w:spacing w:val="-10"/>
        </w:rPr>
        <w:t xml:space="preserve"> </w:t>
      </w:r>
      <w:r>
        <w:t>této</w:t>
      </w:r>
      <w:r>
        <w:rPr>
          <w:spacing w:val="-6"/>
        </w:rPr>
        <w:t xml:space="preserve"> </w:t>
      </w:r>
      <w:r>
        <w:t>Výzvy</w:t>
      </w:r>
      <w:r>
        <w:rPr>
          <w:spacing w:val="-9"/>
        </w:rPr>
        <w:t xml:space="preserve"> </w:t>
      </w:r>
      <w:r>
        <w:t>nelze</w:t>
      </w:r>
      <w:r>
        <w:rPr>
          <w:spacing w:val="-10"/>
        </w:rPr>
        <w:t xml:space="preserve"> </w:t>
      </w:r>
      <w:r>
        <w:t>poskytnout</w:t>
      </w:r>
      <w:r>
        <w:rPr>
          <w:spacing w:val="-8"/>
        </w:rPr>
        <w:t xml:space="preserve"> </w:t>
      </w:r>
      <w:r>
        <w:t>podporu</w:t>
      </w:r>
      <w:r>
        <w:rPr>
          <w:spacing w:val="-8"/>
        </w:rPr>
        <w:t xml:space="preserve"> </w:t>
      </w:r>
      <w:r>
        <w:t>na úhradu</w:t>
      </w:r>
      <w:r>
        <w:rPr>
          <w:spacing w:val="-1"/>
        </w:rPr>
        <w:t xml:space="preserve"> </w:t>
      </w:r>
      <w:r>
        <w:t>DPH.</w:t>
      </w:r>
    </w:p>
    <w:p w14:paraId="0FD92BFC" w14:textId="77777777" w:rsidR="008636CF" w:rsidRPr="00314543" w:rsidRDefault="008636CF" w:rsidP="00C865EE">
      <w:pPr>
        <w:pStyle w:val="Zkladntext"/>
        <w:rPr>
          <w:rFonts w:ascii="Arial" w:hAnsi="Arial"/>
          <w:sz w:val="16"/>
          <w:u w:val="single"/>
        </w:rPr>
      </w:pPr>
      <w:r w:rsidRPr="00314543">
        <w:rPr>
          <w:u w:val="single"/>
        </w:rPr>
        <w:t>Způsobilými náklady/výdaj</w:t>
      </w:r>
      <w:r w:rsidR="00314543" w:rsidRPr="00314543">
        <w:rPr>
          <w:u w:val="single"/>
        </w:rPr>
        <w:t>i</w:t>
      </w:r>
      <w:r w:rsidRPr="00314543">
        <w:rPr>
          <w:u w:val="single"/>
        </w:rPr>
        <w:t xml:space="preserve"> jsou tyto položky:</w:t>
      </w:r>
      <w:r w:rsidR="00936386">
        <w:rPr>
          <w:rStyle w:val="Znakapoznpodarou"/>
          <w:u w:val="single"/>
        </w:rPr>
        <w:footnoteReference w:id="5"/>
      </w:r>
    </w:p>
    <w:p w14:paraId="19791CB2" w14:textId="77777777" w:rsidR="00212E1C" w:rsidRDefault="001A6CD6" w:rsidP="007B4037">
      <w:pPr>
        <w:pStyle w:val="Zkladntext"/>
        <w:numPr>
          <w:ilvl w:val="0"/>
          <w:numId w:val="9"/>
        </w:numPr>
        <w:jc w:val="both"/>
      </w:pPr>
      <w:r>
        <w:t>Přímé náklady/výdaje – jedná se o náklady způsobilé v rámci programu Digitální Evropa, které</w:t>
      </w:r>
      <w:r>
        <w:rPr>
          <w:spacing w:val="39"/>
        </w:rPr>
        <w:t xml:space="preserve"> </w:t>
      </w:r>
      <w:r>
        <w:t>souvisí</w:t>
      </w:r>
      <w:r w:rsidR="00314543">
        <w:t xml:space="preserve"> </w:t>
      </w:r>
      <w:r>
        <w:t>s</w:t>
      </w:r>
      <w:r w:rsidRPr="00314543">
        <w:rPr>
          <w:spacing w:val="-1"/>
        </w:rPr>
        <w:t xml:space="preserve"> </w:t>
      </w:r>
      <w:r>
        <w:t>realizací</w:t>
      </w:r>
      <w:r w:rsidRPr="00314543">
        <w:rPr>
          <w:spacing w:val="-5"/>
        </w:rPr>
        <w:t xml:space="preserve"> </w:t>
      </w:r>
      <w:r>
        <w:t>projektu</w:t>
      </w:r>
      <w:r w:rsidRPr="00314543">
        <w:rPr>
          <w:spacing w:val="-6"/>
        </w:rPr>
        <w:t xml:space="preserve"> </w:t>
      </w:r>
      <w:r>
        <w:t>bez</w:t>
      </w:r>
      <w:r w:rsidRPr="00314543">
        <w:rPr>
          <w:spacing w:val="-6"/>
        </w:rPr>
        <w:t xml:space="preserve"> </w:t>
      </w:r>
      <w:r>
        <w:t>DPH.</w:t>
      </w:r>
      <w:r w:rsidRPr="00314543">
        <w:rPr>
          <w:spacing w:val="-6"/>
        </w:rPr>
        <w:t xml:space="preserve"> </w:t>
      </w:r>
      <w:r>
        <w:t>Jedná</w:t>
      </w:r>
      <w:r w:rsidRPr="00314543">
        <w:rPr>
          <w:spacing w:val="-6"/>
        </w:rPr>
        <w:t xml:space="preserve"> </w:t>
      </w:r>
      <w:r>
        <w:t>se</w:t>
      </w:r>
      <w:r w:rsidRPr="00314543">
        <w:rPr>
          <w:spacing w:val="-5"/>
        </w:rPr>
        <w:t xml:space="preserve"> </w:t>
      </w:r>
      <w:r>
        <w:t>o</w:t>
      </w:r>
      <w:r w:rsidRPr="00314543">
        <w:rPr>
          <w:spacing w:val="-3"/>
        </w:rPr>
        <w:t xml:space="preserve"> </w:t>
      </w:r>
      <w:r>
        <w:t>osobní</w:t>
      </w:r>
      <w:r w:rsidRPr="00314543">
        <w:rPr>
          <w:spacing w:val="-7"/>
        </w:rPr>
        <w:t xml:space="preserve"> </w:t>
      </w:r>
      <w:r>
        <w:t>náklady</w:t>
      </w:r>
      <w:r w:rsidRPr="00314543">
        <w:rPr>
          <w:spacing w:val="-4"/>
        </w:rPr>
        <w:t xml:space="preserve"> </w:t>
      </w:r>
      <w:r>
        <w:t>bez</w:t>
      </w:r>
      <w:r w:rsidRPr="00314543">
        <w:rPr>
          <w:spacing w:val="-6"/>
        </w:rPr>
        <w:t xml:space="preserve"> </w:t>
      </w:r>
      <w:r>
        <w:t>DPH</w:t>
      </w:r>
      <w:r w:rsidRPr="00314543">
        <w:rPr>
          <w:spacing w:val="-6"/>
        </w:rPr>
        <w:t xml:space="preserve"> </w:t>
      </w:r>
      <w:r>
        <w:t>-</w:t>
      </w:r>
      <w:r w:rsidRPr="00314543">
        <w:rPr>
          <w:spacing w:val="-4"/>
        </w:rPr>
        <w:t xml:space="preserve"> </w:t>
      </w:r>
      <w:r>
        <w:t>(A1</w:t>
      </w:r>
      <w:r w:rsidRPr="00314543">
        <w:rPr>
          <w:spacing w:val="-6"/>
        </w:rPr>
        <w:t xml:space="preserve"> </w:t>
      </w:r>
      <w:r>
        <w:t>Zaměstnanci,</w:t>
      </w:r>
      <w:r w:rsidRPr="00314543">
        <w:rPr>
          <w:spacing w:val="-7"/>
        </w:rPr>
        <w:t xml:space="preserve"> </w:t>
      </w:r>
      <w:r>
        <w:t>(A2)</w:t>
      </w:r>
      <w:r w:rsidRPr="00314543">
        <w:rPr>
          <w:spacing w:val="-5"/>
        </w:rPr>
        <w:t xml:space="preserve"> </w:t>
      </w:r>
      <w:r>
        <w:t>Fyzické</w:t>
      </w:r>
      <w:r w:rsidRPr="00314543">
        <w:rPr>
          <w:spacing w:val="-7"/>
        </w:rPr>
        <w:t xml:space="preserve"> </w:t>
      </w:r>
      <w:r>
        <w:t>osoby s jinou než pracovní smlouvou, (A 3) Vyslaný personál bez DPH - (A 4) Vlastníci MSP nepobírající</w:t>
      </w:r>
      <w:r w:rsidRPr="00314543">
        <w:rPr>
          <w:spacing w:val="-30"/>
        </w:rPr>
        <w:t xml:space="preserve"> </w:t>
      </w:r>
      <w:r>
        <w:t>mzdu a příjemci fyzické osoby, B. Subdodávky bez DPH, C. Nákupy bez DPH - (C1) Cestovní náhrady, (C2) Dlouhodobý majetek, (C3) Ostatní zboží, práce a služby bez DPH a D. Ostatní bez DPH (D 2) Interně fakturované zboží a</w:t>
      </w:r>
      <w:r w:rsidRPr="00314543">
        <w:rPr>
          <w:spacing w:val="-1"/>
        </w:rPr>
        <w:t xml:space="preserve"> </w:t>
      </w:r>
      <w:r>
        <w:t>služby.</w:t>
      </w:r>
    </w:p>
    <w:p w14:paraId="564E8A57" w14:textId="77777777" w:rsidR="00602A9F" w:rsidRDefault="001A6CD6" w:rsidP="007B4037">
      <w:pPr>
        <w:pStyle w:val="Zkladntext"/>
        <w:numPr>
          <w:ilvl w:val="0"/>
          <w:numId w:val="9"/>
        </w:numPr>
        <w:jc w:val="both"/>
      </w:pPr>
      <w:r>
        <w:t>Nepřímé náklady/výdaje – činí maximálně 7 % způsobilých přímých nákladů.</w:t>
      </w:r>
    </w:p>
    <w:p w14:paraId="1E1E15DB" w14:textId="217EC33E" w:rsidR="00DD1F1D" w:rsidRDefault="001A6CD6" w:rsidP="00602A9F">
      <w:pPr>
        <w:pStyle w:val="Zkladntext"/>
      </w:pPr>
      <w:r>
        <w:t xml:space="preserve">Způsobilé výdaje je možné nárokovat od </w:t>
      </w:r>
      <w:r w:rsidR="00D31886">
        <w:t>1. 3. 2023.</w:t>
      </w:r>
    </w:p>
    <w:p w14:paraId="03393BC4" w14:textId="77777777" w:rsidR="00934F84" w:rsidRDefault="00934F84" w:rsidP="007B4037">
      <w:pPr>
        <w:pStyle w:val="Zkladntext"/>
        <w:jc w:val="both"/>
      </w:pPr>
      <w:r>
        <w:t>Dodavatelé musí být Příjemcem vybráni postupem podle zákona č. 134/2016 Sb., o zadávání veřejných</w:t>
      </w:r>
      <w:r w:rsidR="00B26882">
        <w:t xml:space="preserve"> </w:t>
      </w:r>
      <w:r>
        <w:t>zakázek, ve znění pozdějších předpisů, pokud v daném případě lze Příjemce označit za zadavatele veřejné zakázky v souladu s tímto zákonem, jinak při zachování principu transparentního a nediskriminačního výběru dodavatelů a tak, aby byly náklady vynaloženy hospodárně a pouze za účelem splnění cílů projektu. V obou případech</w:t>
      </w:r>
      <w:r>
        <w:rPr>
          <w:spacing w:val="-7"/>
        </w:rPr>
        <w:t xml:space="preserve"> </w:t>
      </w:r>
      <w:r>
        <w:t>nesmí</w:t>
      </w:r>
      <w:r>
        <w:rPr>
          <w:spacing w:val="-6"/>
        </w:rPr>
        <w:t xml:space="preserve"> </w:t>
      </w:r>
      <w:r>
        <w:t>být</w:t>
      </w:r>
      <w:r>
        <w:rPr>
          <w:spacing w:val="-10"/>
        </w:rPr>
        <w:t xml:space="preserve"> </w:t>
      </w:r>
      <w:r>
        <w:t>dodavatelem</w:t>
      </w:r>
      <w:r>
        <w:rPr>
          <w:spacing w:val="-7"/>
        </w:rPr>
        <w:t xml:space="preserve"> </w:t>
      </w:r>
      <w:r>
        <w:t>člen</w:t>
      </w:r>
      <w:r>
        <w:rPr>
          <w:spacing w:val="-7"/>
        </w:rPr>
        <w:t xml:space="preserve"> </w:t>
      </w:r>
      <w:r>
        <w:t>řešitelského</w:t>
      </w:r>
      <w:r>
        <w:rPr>
          <w:spacing w:val="-7"/>
        </w:rPr>
        <w:t xml:space="preserve"> </w:t>
      </w:r>
      <w:r>
        <w:t>týmu</w:t>
      </w:r>
      <w:r>
        <w:rPr>
          <w:spacing w:val="-7"/>
        </w:rPr>
        <w:t xml:space="preserve"> </w:t>
      </w:r>
      <w:r>
        <w:t>ani</w:t>
      </w:r>
      <w:r>
        <w:rPr>
          <w:spacing w:val="-9"/>
        </w:rPr>
        <w:t xml:space="preserve"> </w:t>
      </w:r>
      <w:r>
        <w:t>jiný</w:t>
      </w:r>
      <w:r>
        <w:rPr>
          <w:spacing w:val="-9"/>
        </w:rPr>
        <w:t xml:space="preserve"> </w:t>
      </w:r>
      <w:r>
        <w:t>zaměstnanec</w:t>
      </w:r>
      <w:r>
        <w:rPr>
          <w:spacing w:val="-6"/>
        </w:rPr>
        <w:t xml:space="preserve"> </w:t>
      </w:r>
      <w:r>
        <w:t>Příjemce</w:t>
      </w:r>
      <w:r>
        <w:rPr>
          <w:spacing w:val="-7"/>
        </w:rPr>
        <w:t xml:space="preserve"> </w:t>
      </w:r>
      <w:r>
        <w:t>nebo</w:t>
      </w:r>
      <w:r>
        <w:rPr>
          <w:spacing w:val="-7"/>
        </w:rPr>
        <w:t xml:space="preserve"> </w:t>
      </w:r>
      <w:r>
        <w:t>ostatních</w:t>
      </w:r>
      <w:r>
        <w:rPr>
          <w:spacing w:val="-9"/>
        </w:rPr>
        <w:t xml:space="preserve"> </w:t>
      </w:r>
      <w:r>
        <w:t>členů konsorcia, propojené a partnerské podniky, ani žádný jiný subjekt, u kterého lze konstatovat střet</w:t>
      </w:r>
      <w:r>
        <w:rPr>
          <w:spacing w:val="-16"/>
        </w:rPr>
        <w:t xml:space="preserve"> </w:t>
      </w:r>
      <w:r>
        <w:t>zájmů.</w:t>
      </w:r>
    </w:p>
    <w:p w14:paraId="3F54A011" w14:textId="495FFCB6" w:rsidR="000743A5" w:rsidRDefault="000743A5" w:rsidP="000743A5">
      <w:pPr>
        <w:widowControl/>
        <w:overflowPunct w:val="0"/>
        <w:adjustRightInd w:val="0"/>
        <w:spacing w:after="120" w:line="276" w:lineRule="auto"/>
        <w:jc w:val="both"/>
        <w:textAlignment w:val="baseline"/>
      </w:pPr>
      <w:bookmarkStart w:id="6" w:name="_Hlk131600684"/>
      <w:r w:rsidRPr="00BA3BC8">
        <w:lastRenderedPageBreak/>
        <w:t xml:space="preserve">Pro dodavatele a jejich případné subdodavatele musí </w:t>
      </w:r>
      <w:r>
        <w:t>P</w:t>
      </w:r>
      <w:r w:rsidRPr="00BA3BC8">
        <w:t>říjemce doložit splnění podmínky prevence střetu zájmů.</w:t>
      </w:r>
      <w:bookmarkEnd w:id="6"/>
      <w:r w:rsidRPr="00BA3BC8">
        <w:t xml:space="preserve"> </w:t>
      </w:r>
      <w:r>
        <w:t xml:space="preserve"> Příjemce jakožto z</w:t>
      </w:r>
      <w:r w:rsidRPr="00BA3BC8">
        <w:t xml:space="preserve">adavatel je povinen přijmout potřebná opatření k prevenci střetu zájmů, zejména požadovat, ověřit a archivovat příslušná čestná prohlášení, neuzavřít, resp. odstoupit od smlouvy s vítězným dodavatelem v případě zjištění střetu zájmů. Příjemce je </w:t>
      </w:r>
      <w:r>
        <w:t>povinen P</w:t>
      </w:r>
      <w:r w:rsidRPr="00BA3BC8">
        <w:t xml:space="preserve">oskytovateli </w:t>
      </w:r>
      <w:r>
        <w:t xml:space="preserve">dotace </w:t>
      </w:r>
      <w:r w:rsidRPr="00BA3BC8">
        <w:t>předat, informace o zakázce, v </w:t>
      </w:r>
      <w:proofErr w:type="gramStart"/>
      <w:r w:rsidRPr="00BA3BC8">
        <w:t>rámci</w:t>
      </w:r>
      <w:proofErr w:type="gramEnd"/>
      <w:r w:rsidRPr="00BA3BC8">
        <w:t xml:space="preserve"> které byl dodavatel vybrán, konkrétně název dodavatele a </w:t>
      </w:r>
      <w:r>
        <w:t xml:space="preserve">případně </w:t>
      </w:r>
      <w:r w:rsidRPr="00BA3BC8">
        <w:t>subdodavatele a dále jméno, příjmení a datum narození jejich skutečných majitelů.</w:t>
      </w:r>
      <w:r>
        <w:t xml:space="preserve"> Tyto informace příjemce zahrne do Zprávy o realizaci projektu a do Závěrečné zprávy o realizaci projektu.</w:t>
      </w:r>
    </w:p>
    <w:p w14:paraId="256E53D1" w14:textId="77777777" w:rsidR="000743A5" w:rsidRDefault="000743A5" w:rsidP="007B4037">
      <w:pPr>
        <w:pStyle w:val="Zkladntext"/>
        <w:jc w:val="both"/>
      </w:pPr>
    </w:p>
    <w:p w14:paraId="45B69370" w14:textId="77777777" w:rsidR="00934F84" w:rsidRDefault="00934F84" w:rsidP="00C865EE">
      <w:pPr>
        <w:pStyle w:val="Zkladntext"/>
        <w:rPr>
          <w:u w:val="single"/>
        </w:rPr>
      </w:pPr>
      <w:r>
        <w:rPr>
          <w:rFonts w:ascii="Times New Roman" w:hAnsi="Times New Roman"/>
          <w:spacing w:val="-60"/>
          <w:u w:val="single"/>
        </w:rPr>
        <w:t xml:space="preserve"> </w:t>
      </w:r>
      <w:r>
        <w:rPr>
          <w:u w:val="single"/>
        </w:rPr>
        <w:t>Způsobilými výdaji nejsou např.:</w:t>
      </w:r>
    </w:p>
    <w:p w14:paraId="0843033D" w14:textId="77777777" w:rsidR="00182B3C" w:rsidRDefault="00040319" w:rsidP="00C865EE">
      <w:pPr>
        <w:pStyle w:val="Zkladntext"/>
        <w:numPr>
          <w:ilvl w:val="0"/>
          <w:numId w:val="10"/>
        </w:numPr>
      </w:pPr>
      <w:r>
        <w:t>leasing,</w:t>
      </w:r>
    </w:p>
    <w:p w14:paraId="0DDFF396" w14:textId="77777777" w:rsidR="00182B3C" w:rsidRDefault="00040319" w:rsidP="00C865EE">
      <w:pPr>
        <w:pStyle w:val="Zkladntext"/>
        <w:numPr>
          <w:ilvl w:val="0"/>
          <w:numId w:val="10"/>
        </w:numPr>
      </w:pPr>
      <w:r>
        <w:t>DPH,</w:t>
      </w:r>
    </w:p>
    <w:p w14:paraId="63906C59" w14:textId="77777777" w:rsidR="00182B3C" w:rsidRDefault="00040319" w:rsidP="00C865EE">
      <w:pPr>
        <w:pStyle w:val="Zkladntext"/>
        <w:numPr>
          <w:ilvl w:val="0"/>
          <w:numId w:val="10"/>
        </w:numPr>
      </w:pPr>
      <w:r>
        <w:t>splátky půjček a úvěrů,</w:t>
      </w:r>
    </w:p>
    <w:p w14:paraId="36998EA4" w14:textId="77777777" w:rsidR="00040319" w:rsidRDefault="00040319" w:rsidP="00C865EE">
      <w:pPr>
        <w:pStyle w:val="Zkladntext"/>
        <w:numPr>
          <w:ilvl w:val="0"/>
          <w:numId w:val="10"/>
        </w:numPr>
      </w:pPr>
      <w:r>
        <w:t>náklady nesouvisející s předmětem Výzvy.</w:t>
      </w:r>
    </w:p>
    <w:p w14:paraId="3C01EA2B" w14:textId="77777777" w:rsidR="00D72E56" w:rsidRDefault="00D72E56" w:rsidP="00FD61EB">
      <w:pPr>
        <w:pStyle w:val="Zkladntext"/>
        <w:jc w:val="both"/>
      </w:pPr>
      <w:r>
        <w:t>Způsobilé náklady musí splňovat obecné principy způsobilosti nákladů z hlediska času, umístnění a účelu a</w:t>
      </w:r>
      <w:r w:rsidR="0048323F">
        <w:t xml:space="preserve"> </w:t>
      </w:r>
      <w:r>
        <w:t>musí být vynaloženy v souladu se zásadami hospodárnosti, efektivnosti a</w:t>
      </w:r>
      <w:r w:rsidR="00370C48">
        <w:t> </w:t>
      </w:r>
      <w:r>
        <w:t>účelnosti, tj.</w:t>
      </w:r>
    </w:p>
    <w:p w14:paraId="30813D21" w14:textId="77777777" w:rsidR="0048323F" w:rsidRDefault="00BC79C8" w:rsidP="00FD61EB">
      <w:pPr>
        <w:pStyle w:val="Zkladntext"/>
        <w:numPr>
          <w:ilvl w:val="0"/>
          <w:numId w:val="11"/>
        </w:numPr>
        <w:jc w:val="both"/>
      </w:pPr>
      <w:r>
        <w:t>musí být vynaloženy v souladu s cíli výzvy a musí bezprostředně souviset s realizací projektu,</w:t>
      </w:r>
    </w:p>
    <w:p w14:paraId="6912D5BB" w14:textId="77777777" w:rsidR="0048323F" w:rsidRDefault="00BC79C8" w:rsidP="00FD61EB">
      <w:pPr>
        <w:pStyle w:val="Zkladntext"/>
        <w:numPr>
          <w:ilvl w:val="0"/>
          <w:numId w:val="11"/>
        </w:numPr>
        <w:jc w:val="both"/>
      </w:pPr>
      <w:r>
        <w:t>musí být před proplacením Poskytovatelem prokazatelně vynaloženy Příjemcem podpory, není-li stanoveno jinak,</w:t>
      </w:r>
    </w:p>
    <w:p w14:paraId="129E505C" w14:textId="77777777" w:rsidR="0048323F" w:rsidRDefault="00BC79C8" w:rsidP="00FD61EB">
      <w:pPr>
        <w:pStyle w:val="Zkladntext"/>
        <w:numPr>
          <w:ilvl w:val="0"/>
          <w:numId w:val="11"/>
        </w:numPr>
        <w:jc w:val="both"/>
      </w:pPr>
      <w:r>
        <w:t>musí být doloženy průkaznými účetními a/nebo jinými relevantními doklady,</w:t>
      </w:r>
    </w:p>
    <w:p w14:paraId="5E7DA2B3" w14:textId="77777777" w:rsidR="0004710B" w:rsidRDefault="0004710B" w:rsidP="00FD61EB">
      <w:pPr>
        <w:pStyle w:val="Zkladntext"/>
        <w:numPr>
          <w:ilvl w:val="0"/>
          <w:numId w:val="11"/>
        </w:numPr>
        <w:jc w:val="both"/>
      </w:pPr>
      <w:r>
        <w:t>na způsobilé náklady, které budou proplaceny z dotace z této výzvy, není možné získat jinou</w:t>
      </w:r>
      <w:r w:rsidRPr="0048323F">
        <w:rPr>
          <w:spacing w:val="9"/>
        </w:rPr>
        <w:t xml:space="preserve"> </w:t>
      </w:r>
      <w:r>
        <w:t>podporu</w:t>
      </w:r>
      <w:r w:rsidR="0048323F">
        <w:t xml:space="preserve"> </w:t>
      </w:r>
      <w:r>
        <w:t>ze státního rozpočtu nebo z rozpočtu EU,</w:t>
      </w:r>
    </w:p>
    <w:p w14:paraId="14D79F98" w14:textId="77777777" w:rsidR="007C7344" w:rsidRDefault="00C20A85" w:rsidP="00255DAE">
      <w:pPr>
        <w:pStyle w:val="Zkladntext"/>
        <w:jc w:val="both"/>
      </w:pPr>
      <w:r>
        <w:t>Podklady a dokumentaci související s financováním projektu je Příjemce povinen uchovat po dobu 10 let ode</w:t>
      </w:r>
      <w:r w:rsidR="00A70FF0">
        <w:t xml:space="preserve"> </w:t>
      </w:r>
      <w:r>
        <w:t>dne ukončení projektu.</w:t>
      </w:r>
    </w:p>
    <w:p w14:paraId="2F1259A5" w14:textId="77777777" w:rsidR="00123E48" w:rsidRPr="00183029" w:rsidRDefault="00123E48" w:rsidP="00183029">
      <w:pPr>
        <w:pStyle w:val="Zkladntext"/>
        <w:rPr>
          <w:b/>
          <w:bCs/>
        </w:rPr>
      </w:pPr>
      <w:r w:rsidRPr="00183029">
        <w:rPr>
          <w:b/>
          <w:bCs/>
        </w:rPr>
        <w:t>Způsob financování:</w:t>
      </w:r>
    </w:p>
    <w:p w14:paraId="6E05D718" w14:textId="77777777" w:rsidR="00123E48" w:rsidRPr="00A971C7" w:rsidRDefault="007307BC" w:rsidP="00935BE4">
      <w:pPr>
        <w:pStyle w:val="Zkladntext"/>
        <w:jc w:val="both"/>
      </w:pPr>
      <w:r w:rsidRPr="00A971C7">
        <w:t>Část dotace na první monitorovací období bude poskytnuta ex-ante po vydání Rozhodnutí dle poměru</w:t>
      </w:r>
      <w:r w:rsidR="00A70FF0" w:rsidRPr="00A971C7">
        <w:t xml:space="preserve"> </w:t>
      </w:r>
      <w:r w:rsidRPr="00A971C7">
        <w:t xml:space="preserve">předfinancování uvedené v části </w:t>
      </w:r>
      <w:proofErr w:type="spellStart"/>
      <w:r w:rsidRPr="00A971C7">
        <w:t>Periodic</w:t>
      </w:r>
      <w:proofErr w:type="spellEnd"/>
      <w:r w:rsidRPr="00A971C7">
        <w:t xml:space="preserve"> reporting a</w:t>
      </w:r>
      <w:r w:rsidR="0039187E" w:rsidRPr="00A971C7">
        <w:t>n</w:t>
      </w:r>
      <w:r w:rsidRPr="00A971C7">
        <w:t xml:space="preserve">d </w:t>
      </w:r>
      <w:proofErr w:type="spellStart"/>
      <w:r w:rsidRPr="00A971C7">
        <w:t>payments</w:t>
      </w:r>
      <w:proofErr w:type="spellEnd"/>
      <w:r w:rsidRPr="00A971C7">
        <w:t xml:space="preserve"> (4.2) Grantové dohody s EU/EK.</w:t>
      </w:r>
    </w:p>
    <w:p w14:paraId="7119B0D9" w14:textId="77777777" w:rsidR="007307BC" w:rsidRDefault="00FD372D" w:rsidP="00935BE4">
      <w:pPr>
        <w:pStyle w:val="Zkladntext"/>
        <w:jc w:val="both"/>
      </w:pPr>
      <w:r w:rsidRPr="00A971C7">
        <w:t xml:space="preserve">Část dotace na druhé </w:t>
      </w:r>
      <w:r w:rsidR="00C0459F" w:rsidRPr="00A971C7">
        <w:t xml:space="preserve">a třetí </w:t>
      </w:r>
      <w:r w:rsidRPr="00A971C7">
        <w:t>monitorovací období bude poskytnuta ex-ante na základě výsledku interim hodnocení</w:t>
      </w:r>
      <w:r w:rsidR="00A70FF0" w:rsidRPr="00A971C7">
        <w:t xml:space="preserve"> </w:t>
      </w:r>
      <w:r w:rsidRPr="00A971C7">
        <w:t>EU/EK.</w:t>
      </w:r>
    </w:p>
    <w:p w14:paraId="01A25BDD" w14:textId="77777777" w:rsidR="00FD372D" w:rsidRDefault="002F4673" w:rsidP="00935BE4">
      <w:pPr>
        <w:pStyle w:val="Zkladntext"/>
        <w:jc w:val="both"/>
      </w:pPr>
      <w:r w:rsidRPr="00A971C7">
        <w:t xml:space="preserve">Část dotace </w:t>
      </w:r>
      <w:r w:rsidR="00935BE4">
        <w:t>za závěrečné</w:t>
      </w:r>
      <w:r w:rsidRPr="00A971C7">
        <w:t xml:space="preserve"> monitorovací období bude poskytnuta ex-</w:t>
      </w:r>
      <w:r>
        <w:t>post</w:t>
      </w:r>
      <w:r w:rsidRPr="00A971C7">
        <w:t xml:space="preserve"> na základě výsledku </w:t>
      </w:r>
      <w:r w:rsidR="005805DC">
        <w:t>záv</w:t>
      </w:r>
      <w:r w:rsidR="00935BE4">
        <w:t>ěrečného</w:t>
      </w:r>
      <w:r w:rsidRPr="00A971C7">
        <w:t xml:space="preserve"> hodnocení EU/EK.</w:t>
      </w:r>
      <w:r w:rsidR="001843E4">
        <w:t xml:space="preserve"> </w:t>
      </w:r>
      <w:r w:rsidR="00155BC1" w:rsidRPr="00A971C7">
        <w:t>Konkrétní</w:t>
      </w:r>
      <w:r w:rsidR="00155BC1" w:rsidRPr="00A971C7">
        <w:rPr>
          <w:spacing w:val="-5"/>
        </w:rPr>
        <w:t xml:space="preserve"> </w:t>
      </w:r>
      <w:r w:rsidR="00155BC1" w:rsidRPr="00A971C7">
        <w:t>výše</w:t>
      </w:r>
      <w:r w:rsidR="00155BC1" w:rsidRPr="00A971C7">
        <w:rPr>
          <w:spacing w:val="-5"/>
        </w:rPr>
        <w:t xml:space="preserve"> </w:t>
      </w:r>
      <w:r w:rsidR="00155BC1" w:rsidRPr="00A971C7">
        <w:t>první</w:t>
      </w:r>
      <w:r w:rsidR="00155BC1" w:rsidRPr="00A971C7">
        <w:rPr>
          <w:spacing w:val="-4"/>
        </w:rPr>
        <w:t xml:space="preserve"> </w:t>
      </w:r>
      <w:r w:rsidR="00155BC1" w:rsidRPr="00A971C7">
        <w:t>zálohové</w:t>
      </w:r>
      <w:r w:rsidR="00155BC1" w:rsidRPr="00A971C7">
        <w:rPr>
          <w:spacing w:val="-6"/>
        </w:rPr>
        <w:t xml:space="preserve"> </w:t>
      </w:r>
      <w:r w:rsidR="00155BC1" w:rsidRPr="00A971C7">
        <w:t>platby</w:t>
      </w:r>
      <w:r w:rsidR="00155BC1" w:rsidRPr="00A971C7">
        <w:rPr>
          <w:spacing w:val="-4"/>
        </w:rPr>
        <w:t xml:space="preserve"> </w:t>
      </w:r>
      <w:r w:rsidR="00155BC1" w:rsidRPr="00A971C7">
        <w:t>bude</w:t>
      </w:r>
      <w:r w:rsidR="00155BC1" w:rsidRPr="00A971C7">
        <w:rPr>
          <w:spacing w:val="-6"/>
        </w:rPr>
        <w:t xml:space="preserve"> </w:t>
      </w:r>
      <w:r w:rsidR="00155BC1" w:rsidRPr="00A971C7">
        <w:t>stanovena</w:t>
      </w:r>
      <w:r w:rsidR="00155BC1" w:rsidRPr="00A971C7">
        <w:rPr>
          <w:spacing w:val="-5"/>
        </w:rPr>
        <w:t xml:space="preserve"> </w:t>
      </w:r>
      <w:r w:rsidR="00155BC1" w:rsidRPr="00A971C7">
        <w:t>individuálně</w:t>
      </w:r>
      <w:r w:rsidR="00155BC1" w:rsidRPr="00A971C7">
        <w:rPr>
          <w:spacing w:val="-3"/>
        </w:rPr>
        <w:t xml:space="preserve"> </w:t>
      </w:r>
      <w:r w:rsidR="00155BC1" w:rsidRPr="00A971C7">
        <w:t>dle</w:t>
      </w:r>
      <w:r w:rsidR="00155BC1" w:rsidRPr="00A971C7">
        <w:rPr>
          <w:spacing w:val="-6"/>
        </w:rPr>
        <w:t xml:space="preserve"> </w:t>
      </w:r>
      <w:r w:rsidR="00155BC1" w:rsidRPr="00A971C7">
        <w:t>podepsané</w:t>
      </w:r>
      <w:r w:rsidR="00155BC1" w:rsidRPr="00A971C7">
        <w:rPr>
          <w:spacing w:val="-5"/>
        </w:rPr>
        <w:t xml:space="preserve"> </w:t>
      </w:r>
      <w:r w:rsidR="00155BC1" w:rsidRPr="00A971C7">
        <w:t>Grantové</w:t>
      </w:r>
      <w:r w:rsidR="00A70FF0" w:rsidRPr="00A971C7">
        <w:t xml:space="preserve"> </w:t>
      </w:r>
      <w:r w:rsidR="00155BC1" w:rsidRPr="00A971C7">
        <w:t>dohody s EU/EK.</w:t>
      </w:r>
    </w:p>
    <w:p w14:paraId="4CAAD778" w14:textId="77777777" w:rsidR="00195D6D" w:rsidRDefault="00195D6D" w:rsidP="00935BE4">
      <w:pPr>
        <w:pStyle w:val="Zkladntext"/>
        <w:jc w:val="both"/>
      </w:pPr>
      <w:r>
        <w:t>Konkrétní podmínky budou upraveny v Rozhodnutí.</w:t>
      </w:r>
    </w:p>
    <w:p w14:paraId="5118FA8C" w14:textId="0F50D33A" w:rsidR="000C5CD7" w:rsidRDefault="00544497" w:rsidP="00935BE4">
      <w:pPr>
        <w:pStyle w:val="Nadpis1"/>
        <w:jc w:val="both"/>
      </w:pPr>
      <w:r>
        <w:lastRenderedPageBreak/>
        <w:t>6</w:t>
      </w:r>
      <w:r w:rsidR="000C5CD7">
        <w:t>. Místo a způsob podávání žádostí o poskytnutí dotace</w:t>
      </w:r>
    </w:p>
    <w:p w14:paraId="4650BE00" w14:textId="77777777" w:rsidR="000C5CD7" w:rsidRDefault="00755F60" w:rsidP="00935BE4">
      <w:pPr>
        <w:pStyle w:val="Zkladntext"/>
        <w:jc w:val="both"/>
      </w:pPr>
      <w:r>
        <w:t>Žádost podepsanou elektronickým podpisem statutárního zástupce Žadatele</w:t>
      </w:r>
      <w:r w:rsidR="007525CA">
        <w:rPr>
          <w:rStyle w:val="Znakapoznpodarou"/>
        </w:rPr>
        <w:footnoteReference w:id="6"/>
      </w:r>
      <w:r w:rsidR="00B94602">
        <w:t xml:space="preserve"> z</w:t>
      </w:r>
      <w:r>
        <w:t>asílejte do datové schránky</w:t>
      </w:r>
      <w:r w:rsidR="00B0556A">
        <w:t xml:space="preserve"> </w:t>
      </w:r>
      <w:r w:rsidR="00EB6774">
        <w:t>Národního úřadu pro kybernetickou a informační bezpečnost ID: zzfnkp3</w:t>
      </w:r>
      <w:r w:rsidR="008053AA">
        <w:t xml:space="preserve"> s</w:t>
      </w:r>
      <w:r w:rsidR="006422AD">
        <w:t> </w:t>
      </w:r>
      <w:r w:rsidR="00EB6774">
        <w:t>označení</w:t>
      </w:r>
      <w:r w:rsidR="006422AD">
        <w:t>m</w:t>
      </w:r>
      <w:r w:rsidR="00EB6774">
        <w:t xml:space="preserve"> výzvy „CZQCI“</w:t>
      </w:r>
      <w:r w:rsidR="008053AA">
        <w:t xml:space="preserve"> </w:t>
      </w:r>
      <w:r>
        <w:t>ve stanovené lhůtě pro podávání žádostí.</w:t>
      </w:r>
    </w:p>
    <w:p w14:paraId="2295EA7B" w14:textId="77777777" w:rsidR="00755F60" w:rsidRDefault="00574536" w:rsidP="00935BE4">
      <w:pPr>
        <w:pStyle w:val="Zkladntext"/>
        <w:jc w:val="both"/>
      </w:pPr>
      <w:r>
        <w:t>Doručení žádosti o poskytnutí dotace po skončení lhůty pro podávání žádostí nebo doručení žádosti do jiné</w:t>
      </w:r>
      <w:r w:rsidR="00CC0F75">
        <w:t xml:space="preserve"> </w:t>
      </w:r>
      <w:r>
        <w:t>datové schránky, než je uvedeno výše, se považuje za nesplnění podmínek této výzvy.</w:t>
      </w:r>
    </w:p>
    <w:p w14:paraId="6C513A69" w14:textId="2AC40BD9" w:rsidR="007C2355" w:rsidRDefault="00544497" w:rsidP="00D26DBB">
      <w:pPr>
        <w:pStyle w:val="Nadpis1"/>
      </w:pPr>
      <w:r>
        <w:t>7</w:t>
      </w:r>
      <w:r w:rsidR="007C2355">
        <w:t>. Žádost o poskytnutí dotace</w:t>
      </w:r>
    </w:p>
    <w:p w14:paraId="033AC429" w14:textId="77777777" w:rsidR="00574536" w:rsidRDefault="00F70B47" w:rsidP="00BF4A3C">
      <w:pPr>
        <w:pStyle w:val="Zkladntext"/>
        <w:jc w:val="both"/>
      </w:pPr>
      <w:r>
        <w:t>Žádost o poskytnutí dotace (formulář viz Příloha č. 1 Výzvy) musí obsahovat zejména specifikaci žadatele o</w:t>
      </w:r>
      <w:r w:rsidR="00232B05">
        <w:t xml:space="preserve"> </w:t>
      </w:r>
      <w:r>
        <w:t>podporu,</w:t>
      </w:r>
      <w:r>
        <w:rPr>
          <w:spacing w:val="-5"/>
        </w:rPr>
        <w:t xml:space="preserve"> </w:t>
      </w:r>
      <w:r>
        <w:t>identifikační</w:t>
      </w:r>
      <w:r>
        <w:rPr>
          <w:spacing w:val="-4"/>
        </w:rPr>
        <w:t xml:space="preserve"> </w:t>
      </w:r>
      <w:r>
        <w:t>číslo,</w:t>
      </w:r>
      <w:r>
        <w:rPr>
          <w:spacing w:val="-6"/>
        </w:rPr>
        <w:t xml:space="preserve"> </w:t>
      </w:r>
      <w:r>
        <w:t>název,</w:t>
      </w:r>
      <w:r>
        <w:rPr>
          <w:spacing w:val="-5"/>
        </w:rPr>
        <w:t xml:space="preserve"> </w:t>
      </w:r>
      <w:r>
        <w:t>adresu</w:t>
      </w:r>
      <w:r>
        <w:rPr>
          <w:spacing w:val="-3"/>
        </w:rPr>
        <w:t xml:space="preserve"> </w:t>
      </w:r>
      <w:r>
        <w:t>sídla</w:t>
      </w:r>
      <w:r>
        <w:rPr>
          <w:spacing w:val="-4"/>
        </w:rPr>
        <w:t xml:space="preserve"> </w:t>
      </w:r>
      <w:r>
        <w:t>spolu</w:t>
      </w:r>
      <w:r>
        <w:rPr>
          <w:spacing w:val="-4"/>
        </w:rPr>
        <w:t xml:space="preserve"> </w:t>
      </w:r>
      <w:r>
        <w:t>se</w:t>
      </w:r>
      <w:r>
        <w:rPr>
          <w:spacing w:val="-1"/>
        </w:rPr>
        <w:t xml:space="preserve"> </w:t>
      </w:r>
      <w:r>
        <w:t>specifikací</w:t>
      </w:r>
      <w:r>
        <w:rPr>
          <w:spacing w:val="-7"/>
        </w:rPr>
        <w:t xml:space="preserve"> </w:t>
      </w:r>
      <w:r>
        <w:t>dalších</w:t>
      </w:r>
      <w:r>
        <w:rPr>
          <w:spacing w:val="-9"/>
        </w:rPr>
        <w:t xml:space="preserve"> </w:t>
      </w:r>
      <w:r>
        <w:t>účastníků</w:t>
      </w:r>
      <w:r>
        <w:rPr>
          <w:spacing w:val="-4"/>
        </w:rPr>
        <w:t xml:space="preserve"> </w:t>
      </w:r>
      <w:r>
        <w:t>projektu</w:t>
      </w:r>
      <w:r>
        <w:rPr>
          <w:spacing w:val="-2"/>
        </w:rPr>
        <w:t xml:space="preserve"> </w:t>
      </w:r>
      <w:r>
        <w:t>a</w:t>
      </w:r>
      <w:r>
        <w:rPr>
          <w:spacing w:val="-3"/>
        </w:rPr>
        <w:t xml:space="preserve"> </w:t>
      </w:r>
      <w:r>
        <w:t>požadovanou celkovou částku dotace rozdělenou dle způsobilých nákladů uvedených v kapitole</w:t>
      </w:r>
      <w:r>
        <w:rPr>
          <w:spacing w:val="-4"/>
        </w:rPr>
        <w:t xml:space="preserve"> </w:t>
      </w:r>
      <w:r>
        <w:t>4.</w:t>
      </w:r>
    </w:p>
    <w:p w14:paraId="00840FAC" w14:textId="77777777" w:rsidR="00BD4951" w:rsidRPr="00232B05" w:rsidRDefault="00BD4951" w:rsidP="008C745E">
      <w:pPr>
        <w:pStyle w:val="Zkladntext"/>
        <w:rPr>
          <w:b/>
          <w:bCs/>
        </w:rPr>
      </w:pPr>
      <w:r w:rsidRPr="00232B05">
        <w:rPr>
          <w:b/>
          <w:bCs/>
          <w:spacing w:val="-3"/>
        </w:rPr>
        <w:t xml:space="preserve">Žádost </w:t>
      </w:r>
      <w:r w:rsidRPr="00232B05">
        <w:rPr>
          <w:b/>
          <w:bCs/>
        </w:rPr>
        <w:t xml:space="preserve">o poskytnutí </w:t>
      </w:r>
      <w:r w:rsidRPr="00232B05">
        <w:rPr>
          <w:b/>
          <w:bCs/>
          <w:spacing w:val="-3"/>
        </w:rPr>
        <w:t xml:space="preserve">dotace </w:t>
      </w:r>
      <w:r w:rsidRPr="00232B05">
        <w:rPr>
          <w:b/>
          <w:bCs/>
        </w:rPr>
        <w:t xml:space="preserve">dále musí </w:t>
      </w:r>
      <w:r w:rsidRPr="00232B05">
        <w:rPr>
          <w:b/>
          <w:bCs/>
          <w:spacing w:val="-3"/>
        </w:rPr>
        <w:t xml:space="preserve">obsahovat následující </w:t>
      </w:r>
      <w:r w:rsidRPr="00232B05">
        <w:rPr>
          <w:b/>
          <w:bCs/>
        </w:rPr>
        <w:t>přílohy:</w:t>
      </w:r>
    </w:p>
    <w:p w14:paraId="47A922DC" w14:textId="77777777" w:rsidR="00146A04" w:rsidRPr="00146A04" w:rsidRDefault="00146A04" w:rsidP="00146A04">
      <w:pPr>
        <w:pStyle w:val="Odstavecseseznamem"/>
        <w:widowControl/>
        <w:numPr>
          <w:ilvl w:val="0"/>
          <w:numId w:val="13"/>
        </w:numPr>
        <w:autoSpaceDE/>
        <w:autoSpaceDN/>
        <w:spacing w:before="12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Formulář žádosti o poskytnutí dotace</w:t>
      </w:r>
    </w:p>
    <w:p w14:paraId="3EAB3D25"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Rozpočet pro projekt</w:t>
      </w:r>
    </w:p>
    <w:p w14:paraId="4A558B82"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pro účely poskytnutí podpory mimo režim veřejné podpory</w:t>
      </w:r>
    </w:p>
    <w:p w14:paraId="4ED5D69D"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příjemce k</w:t>
      </w:r>
      <w:r w:rsidRPr="00146A04">
        <w:rPr>
          <w:rFonts w:asciiTheme="minorHAnsi" w:hAnsiTheme="minorHAnsi" w:cstheme="minorHAnsi"/>
          <w:b/>
          <w:i/>
          <w:color w:val="000000" w:themeColor="text1"/>
          <w:sz w:val="24"/>
          <w:szCs w:val="24"/>
        </w:rPr>
        <w:t xml:space="preserve"> </w:t>
      </w:r>
      <w:r w:rsidRPr="00852A51">
        <w:rPr>
          <w:rFonts w:asciiTheme="minorHAnsi" w:hAnsiTheme="minorHAnsi" w:cstheme="minorHAnsi"/>
          <w:bCs/>
          <w:i/>
          <w:color w:val="000000" w:themeColor="text1"/>
          <w:sz w:val="24"/>
          <w:szCs w:val="24"/>
        </w:rPr>
        <w:t>Rozhodnutí o poskytnutí dotace</w:t>
      </w:r>
      <w:r w:rsidRPr="00146A04">
        <w:rPr>
          <w:rFonts w:asciiTheme="minorHAnsi" w:hAnsiTheme="minorHAnsi" w:cstheme="minorHAnsi"/>
          <w:b/>
          <w:i/>
          <w:color w:val="000000" w:themeColor="text1"/>
          <w:sz w:val="24"/>
          <w:szCs w:val="24"/>
        </w:rPr>
        <w:t xml:space="preserve"> </w:t>
      </w:r>
      <w:r w:rsidRPr="00146A04">
        <w:rPr>
          <w:rFonts w:asciiTheme="minorHAnsi" w:hAnsiTheme="minorHAnsi" w:cstheme="minorHAnsi"/>
          <w:i/>
          <w:color w:val="000000" w:themeColor="text1"/>
          <w:sz w:val="24"/>
          <w:szCs w:val="24"/>
        </w:rPr>
        <w:t>(dále jen</w:t>
      </w:r>
      <w:r w:rsidRPr="00146A04">
        <w:rPr>
          <w:rFonts w:asciiTheme="minorHAnsi" w:hAnsiTheme="minorHAnsi" w:cstheme="minorHAnsi"/>
          <w:color w:val="000000" w:themeColor="text1"/>
          <w:sz w:val="24"/>
          <w:szCs w:val="24"/>
        </w:rPr>
        <w:t> „</w:t>
      </w:r>
      <w:proofErr w:type="spellStart"/>
      <w:r w:rsidRPr="00146A04">
        <w:rPr>
          <w:rFonts w:asciiTheme="minorHAnsi" w:hAnsiTheme="minorHAnsi" w:cstheme="minorHAnsi"/>
          <w:color w:val="000000" w:themeColor="text1"/>
          <w:sz w:val="24"/>
          <w:szCs w:val="24"/>
        </w:rPr>
        <w:t>RoPD</w:t>
      </w:r>
      <w:proofErr w:type="spellEnd"/>
      <w:r w:rsidRPr="00146A04">
        <w:rPr>
          <w:rFonts w:asciiTheme="minorHAnsi" w:hAnsiTheme="minorHAnsi" w:cstheme="minorHAnsi"/>
          <w:color w:val="000000" w:themeColor="text1"/>
          <w:sz w:val="24"/>
          <w:szCs w:val="24"/>
        </w:rPr>
        <w:t>“)</w:t>
      </w:r>
    </w:p>
    <w:p w14:paraId="7C971D72"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k zásadě významně nepoškozovat (</w:t>
      </w:r>
      <w:r w:rsidRPr="00146A04">
        <w:rPr>
          <w:rFonts w:asciiTheme="minorHAnsi" w:hAnsiTheme="minorHAnsi" w:cstheme="minorHAnsi"/>
          <w:i/>
          <w:color w:val="000000" w:themeColor="text1"/>
          <w:sz w:val="24"/>
          <w:szCs w:val="24"/>
        </w:rPr>
        <w:t>dále jen</w:t>
      </w:r>
      <w:r w:rsidRPr="00146A04">
        <w:rPr>
          <w:rFonts w:asciiTheme="minorHAnsi" w:hAnsiTheme="minorHAnsi" w:cstheme="minorHAnsi"/>
          <w:color w:val="000000" w:themeColor="text1"/>
          <w:sz w:val="24"/>
          <w:szCs w:val="24"/>
        </w:rPr>
        <w:t xml:space="preserve"> „DNSH“)</w:t>
      </w:r>
    </w:p>
    <w:p w14:paraId="4C51AB81"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o způsobilosti žadatele</w:t>
      </w:r>
    </w:p>
    <w:p w14:paraId="742D4EE6" w14:textId="1430585E" w:rsid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 xml:space="preserve">Čestné prohlášení k vyloučení střetu zájmů </w:t>
      </w:r>
    </w:p>
    <w:p w14:paraId="0938C1FF"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prokazující bezdlužnost žadatele</w:t>
      </w:r>
    </w:p>
    <w:p w14:paraId="6177119A" w14:textId="49113BA8" w:rsidR="00146A04" w:rsidRPr="006F60BA"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6F60BA">
        <w:rPr>
          <w:rFonts w:asciiTheme="minorHAnsi" w:eastAsia="Times New Roman" w:hAnsiTheme="minorHAnsi" w:cstheme="minorHAnsi"/>
          <w:bCs/>
          <w:sz w:val="24"/>
          <w:szCs w:val="24"/>
        </w:rPr>
        <w:t xml:space="preserve">Podepsanou Smlouvu o partnerství (nebo obdobný právní dokument) platně uzavřenou mezi všemi členy konsorcia /partnery zaměřenou na klíčové aktivity výzvy </w:t>
      </w:r>
    </w:p>
    <w:p w14:paraId="2FEB231A"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eastAsia="Times New Roman" w:hAnsiTheme="minorHAnsi" w:cstheme="minorHAnsi"/>
          <w:bCs/>
          <w:sz w:val="24"/>
          <w:szCs w:val="24"/>
        </w:rPr>
        <w:t>Finanční plán čerpání dotace za jednotlivá účetní období</w:t>
      </w:r>
    </w:p>
    <w:p w14:paraId="6AAE7455"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eastAsia="Times New Roman" w:hAnsiTheme="minorHAnsi" w:cstheme="minorHAnsi"/>
          <w:bCs/>
          <w:sz w:val="24"/>
          <w:szCs w:val="24"/>
        </w:rPr>
        <w:t>Podrobný popis a předběžný harmonogram věcné realizace klíčových aktivit výzvy, včetně předběžného harmonogramu naplnění indikátorů</w:t>
      </w:r>
    </w:p>
    <w:p w14:paraId="41B1E38E"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eastAsia="Times New Roman" w:hAnsiTheme="minorHAnsi" w:cstheme="minorHAnsi"/>
          <w:bCs/>
          <w:sz w:val="24"/>
          <w:szCs w:val="24"/>
        </w:rPr>
        <w:t>Výpis z obchodního rejstříku nebo obdobný dokument prokazující právní subjektivitu</w:t>
      </w:r>
    </w:p>
    <w:p w14:paraId="60739008" w14:textId="77777777" w:rsidR="00146A04" w:rsidRPr="00146A04"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 xml:space="preserve">Podepsaná grantová dohoda (Grant </w:t>
      </w:r>
      <w:proofErr w:type="spellStart"/>
      <w:r w:rsidRPr="00146A04">
        <w:rPr>
          <w:rFonts w:asciiTheme="minorHAnsi" w:hAnsiTheme="minorHAnsi" w:cstheme="minorHAnsi"/>
          <w:color w:val="000000" w:themeColor="text1"/>
          <w:sz w:val="24"/>
          <w:szCs w:val="24"/>
        </w:rPr>
        <w:t>Agreement</w:t>
      </w:r>
      <w:proofErr w:type="spellEnd"/>
      <w:r w:rsidRPr="00146A04">
        <w:rPr>
          <w:rFonts w:asciiTheme="minorHAnsi" w:hAnsiTheme="minorHAnsi" w:cstheme="minorHAnsi"/>
          <w:color w:val="000000" w:themeColor="text1"/>
          <w:sz w:val="24"/>
          <w:szCs w:val="24"/>
        </w:rPr>
        <w:t>) na předmětný projekt s Evropskou komisí</w:t>
      </w:r>
    </w:p>
    <w:p w14:paraId="053BA2D4" w14:textId="3C2BCBDA" w:rsidR="005A7D24" w:rsidRPr="00852A51" w:rsidRDefault="00146A04" w:rsidP="00146A04">
      <w:pPr>
        <w:pStyle w:val="Odstavecseseznamem"/>
        <w:widowControl/>
        <w:numPr>
          <w:ilvl w:val="0"/>
          <w:numId w:val="13"/>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sz w:val="24"/>
          <w:szCs w:val="24"/>
        </w:rPr>
        <w:t>Finanční výkazy za poslední dvě uzavřená účetní období</w:t>
      </w:r>
    </w:p>
    <w:p w14:paraId="68853312" w14:textId="77777777" w:rsidR="001C1AAA" w:rsidRDefault="001C1AAA" w:rsidP="006F151D">
      <w:pPr>
        <w:pStyle w:val="Zkladntext"/>
        <w:jc w:val="both"/>
      </w:pPr>
      <w:r>
        <w:t>Odesláním</w:t>
      </w:r>
      <w:r>
        <w:rPr>
          <w:spacing w:val="-11"/>
        </w:rPr>
        <w:t xml:space="preserve"> </w:t>
      </w:r>
      <w:r>
        <w:t>žádosti</w:t>
      </w:r>
      <w:r>
        <w:rPr>
          <w:spacing w:val="-11"/>
        </w:rPr>
        <w:t xml:space="preserve"> </w:t>
      </w:r>
      <w:r>
        <w:t>o</w:t>
      </w:r>
      <w:r>
        <w:rPr>
          <w:spacing w:val="-12"/>
        </w:rPr>
        <w:t xml:space="preserve"> </w:t>
      </w:r>
      <w:r>
        <w:t>poskytnutí</w:t>
      </w:r>
      <w:r>
        <w:rPr>
          <w:spacing w:val="-11"/>
        </w:rPr>
        <w:t xml:space="preserve"> </w:t>
      </w:r>
      <w:r>
        <w:t>dotace</w:t>
      </w:r>
      <w:r>
        <w:rPr>
          <w:spacing w:val="-14"/>
        </w:rPr>
        <w:t xml:space="preserve"> </w:t>
      </w:r>
      <w:r>
        <w:t>bere</w:t>
      </w:r>
      <w:r>
        <w:rPr>
          <w:spacing w:val="-13"/>
        </w:rPr>
        <w:t xml:space="preserve"> </w:t>
      </w:r>
      <w:r>
        <w:t>Žadatel</w:t>
      </w:r>
      <w:r>
        <w:rPr>
          <w:spacing w:val="-11"/>
        </w:rPr>
        <w:t xml:space="preserve"> </w:t>
      </w:r>
      <w:r>
        <w:t>na</w:t>
      </w:r>
      <w:r>
        <w:rPr>
          <w:spacing w:val="-11"/>
        </w:rPr>
        <w:t xml:space="preserve"> </w:t>
      </w:r>
      <w:r>
        <w:t>vědomí</w:t>
      </w:r>
      <w:r>
        <w:rPr>
          <w:spacing w:val="-11"/>
        </w:rPr>
        <w:t xml:space="preserve"> </w:t>
      </w:r>
      <w:r>
        <w:t>mimo</w:t>
      </w:r>
      <w:r>
        <w:rPr>
          <w:spacing w:val="-14"/>
        </w:rPr>
        <w:t xml:space="preserve"> </w:t>
      </w:r>
      <w:r>
        <w:t>jiné</w:t>
      </w:r>
      <w:r>
        <w:rPr>
          <w:spacing w:val="-12"/>
        </w:rPr>
        <w:t xml:space="preserve"> </w:t>
      </w:r>
      <w:r>
        <w:t>skutečnost,</w:t>
      </w:r>
      <w:r>
        <w:rPr>
          <w:spacing w:val="-11"/>
        </w:rPr>
        <w:t xml:space="preserve"> </w:t>
      </w:r>
      <w:r>
        <w:t>že</w:t>
      </w:r>
      <w:r>
        <w:rPr>
          <w:spacing w:val="-12"/>
        </w:rPr>
        <w:t xml:space="preserve"> </w:t>
      </w:r>
      <w:r>
        <w:t>při</w:t>
      </w:r>
      <w:r>
        <w:rPr>
          <w:spacing w:val="-11"/>
        </w:rPr>
        <w:t xml:space="preserve"> </w:t>
      </w:r>
      <w:r>
        <w:t>hodnocení</w:t>
      </w:r>
      <w:r>
        <w:rPr>
          <w:spacing w:val="-11"/>
        </w:rPr>
        <w:t xml:space="preserve"> </w:t>
      </w:r>
      <w:r>
        <w:t>žádostí</w:t>
      </w:r>
      <w:r w:rsidR="009A0F04">
        <w:t xml:space="preserve"> </w:t>
      </w:r>
      <w:r>
        <w:t xml:space="preserve">a při poskytování podpory vybraným příjemcům se aplikuje článek 61 Finančního nařízení, Sdělení Komise č. 2021/C 121/01 Pokyny k zabránění střetu zájmů a jeho řešení podle Finančního nařízení a čl. 3 bodu 6 Směrnice Evropského Parlamentu a Rady (EU) </w:t>
      </w:r>
      <w:r>
        <w:lastRenderedPageBreak/>
        <w:t>2015/849 o předcházení využívání finančního systému k praní peněz</w:t>
      </w:r>
      <w:r>
        <w:rPr>
          <w:spacing w:val="-6"/>
        </w:rPr>
        <w:t xml:space="preserve"> </w:t>
      </w:r>
      <w:r>
        <w:t>nebo</w:t>
      </w:r>
      <w:r>
        <w:rPr>
          <w:spacing w:val="-5"/>
        </w:rPr>
        <w:t xml:space="preserve"> </w:t>
      </w:r>
      <w:r>
        <w:t>financování</w:t>
      </w:r>
      <w:r>
        <w:rPr>
          <w:spacing w:val="-5"/>
        </w:rPr>
        <w:t xml:space="preserve"> </w:t>
      </w:r>
      <w:r>
        <w:t>terorismu.</w:t>
      </w:r>
      <w:r>
        <w:rPr>
          <w:spacing w:val="-5"/>
        </w:rPr>
        <w:t xml:space="preserve"> </w:t>
      </w:r>
      <w:r>
        <w:t>Jejich</w:t>
      </w:r>
      <w:r>
        <w:rPr>
          <w:spacing w:val="-5"/>
        </w:rPr>
        <w:t xml:space="preserve"> </w:t>
      </w:r>
      <w:r>
        <w:t>aplikaci</w:t>
      </w:r>
      <w:r>
        <w:rPr>
          <w:spacing w:val="-4"/>
        </w:rPr>
        <w:t xml:space="preserve"> </w:t>
      </w:r>
      <w:r>
        <w:t>v</w:t>
      </w:r>
      <w:r>
        <w:rPr>
          <w:spacing w:val="-3"/>
        </w:rPr>
        <w:t xml:space="preserve"> </w:t>
      </w:r>
      <w:r>
        <w:t>kontextu</w:t>
      </w:r>
      <w:r>
        <w:rPr>
          <w:spacing w:val="-5"/>
        </w:rPr>
        <w:t xml:space="preserve"> </w:t>
      </w:r>
      <w:r>
        <w:t>financování</w:t>
      </w:r>
      <w:r>
        <w:rPr>
          <w:spacing w:val="-5"/>
        </w:rPr>
        <w:t xml:space="preserve"> </w:t>
      </w:r>
      <w:r>
        <w:t>z</w:t>
      </w:r>
      <w:r>
        <w:rPr>
          <w:spacing w:val="-2"/>
        </w:rPr>
        <w:t xml:space="preserve"> </w:t>
      </w:r>
      <w:r>
        <w:t>Národního</w:t>
      </w:r>
      <w:r>
        <w:rPr>
          <w:spacing w:val="-6"/>
        </w:rPr>
        <w:t xml:space="preserve"> </w:t>
      </w:r>
      <w:r>
        <w:t>plánu</w:t>
      </w:r>
      <w:r>
        <w:rPr>
          <w:spacing w:val="-4"/>
        </w:rPr>
        <w:t xml:space="preserve"> </w:t>
      </w:r>
      <w:r>
        <w:t>obnovy</w:t>
      </w:r>
      <w:r>
        <w:rPr>
          <w:spacing w:val="-6"/>
        </w:rPr>
        <w:t xml:space="preserve"> </w:t>
      </w:r>
      <w:r>
        <w:t>upřesňují zejména</w:t>
      </w:r>
      <w:r>
        <w:rPr>
          <w:spacing w:val="-9"/>
        </w:rPr>
        <w:t xml:space="preserve"> </w:t>
      </w:r>
      <w:r>
        <w:t>Metodický</w:t>
      </w:r>
      <w:r>
        <w:rPr>
          <w:spacing w:val="-12"/>
        </w:rPr>
        <w:t xml:space="preserve"> </w:t>
      </w:r>
      <w:r>
        <w:t>pokyn</w:t>
      </w:r>
      <w:r>
        <w:rPr>
          <w:spacing w:val="-11"/>
        </w:rPr>
        <w:t xml:space="preserve"> </w:t>
      </w:r>
      <w:r>
        <w:t>systému</w:t>
      </w:r>
      <w:r>
        <w:rPr>
          <w:spacing w:val="-11"/>
        </w:rPr>
        <w:t xml:space="preserve"> </w:t>
      </w:r>
      <w:r>
        <w:t>varovných</w:t>
      </w:r>
      <w:r>
        <w:rPr>
          <w:spacing w:val="-10"/>
        </w:rPr>
        <w:t xml:space="preserve"> </w:t>
      </w:r>
      <w:r>
        <w:t>signálů</w:t>
      </w:r>
      <w:r>
        <w:rPr>
          <w:spacing w:val="-11"/>
        </w:rPr>
        <w:t xml:space="preserve"> </w:t>
      </w:r>
      <w:r>
        <w:t>„RED</w:t>
      </w:r>
      <w:r>
        <w:rPr>
          <w:spacing w:val="-11"/>
        </w:rPr>
        <w:t xml:space="preserve"> </w:t>
      </w:r>
      <w:r>
        <w:t>FLAGS“</w:t>
      </w:r>
      <w:r>
        <w:rPr>
          <w:spacing w:val="-11"/>
        </w:rPr>
        <w:t xml:space="preserve"> </w:t>
      </w:r>
      <w:r>
        <w:t>pro</w:t>
      </w:r>
      <w:r>
        <w:rPr>
          <w:spacing w:val="-11"/>
        </w:rPr>
        <w:t xml:space="preserve"> </w:t>
      </w:r>
      <w:r>
        <w:t>Národní</w:t>
      </w:r>
      <w:r>
        <w:rPr>
          <w:spacing w:val="-12"/>
        </w:rPr>
        <w:t xml:space="preserve"> </w:t>
      </w:r>
      <w:r>
        <w:t>plán</w:t>
      </w:r>
      <w:r>
        <w:rPr>
          <w:spacing w:val="-11"/>
        </w:rPr>
        <w:t xml:space="preserve"> </w:t>
      </w:r>
      <w:r>
        <w:t>obnovy</w:t>
      </w:r>
      <w:r>
        <w:rPr>
          <w:spacing w:val="-12"/>
        </w:rPr>
        <w:t xml:space="preserve"> </w:t>
      </w:r>
      <w:r>
        <w:t>na</w:t>
      </w:r>
      <w:r>
        <w:rPr>
          <w:spacing w:val="-10"/>
        </w:rPr>
        <w:t xml:space="preserve"> </w:t>
      </w:r>
      <w:r>
        <w:t>období</w:t>
      </w:r>
      <w:r>
        <w:rPr>
          <w:spacing w:val="-12"/>
        </w:rPr>
        <w:t xml:space="preserve"> </w:t>
      </w:r>
      <w:proofErr w:type="gramStart"/>
      <w:r>
        <w:t>2021– 2026</w:t>
      </w:r>
      <w:proofErr w:type="gramEnd"/>
      <w:r>
        <w:t xml:space="preserve"> a Průvodce pro oblast střetu zájmů dle čl. 61 Finančního nařízení pro Národní plán obnovy na období 2021-2026 (viz Příloha 4 a 5 Výzvy). V případě prokázaného střetu zájmů dojde k nepřiznání (nebo v pozdější fázi k</w:t>
      </w:r>
      <w:r w:rsidR="006E2321">
        <w:t> </w:t>
      </w:r>
      <w:r>
        <w:t>odejmutí</w:t>
      </w:r>
      <w:r w:rsidR="006E2321">
        <w:t xml:space="preserve">) </w:t>
      </w:r>
      <w:r>
        <w:t>poskytnuté</w:t>
      </w:r>
      <w:r>
        <w:rPr>
          <w:spacing w:val="-1"/>
        </w:rPr>
        <w:t xml:space="preserve"> </w:t>
      </w:r>
      <w:r>
        <w:t>podpory.</w:t>
      </w:r>
    </w:p>
    <w:p w14:paraId="63B76F2E" w14:textId="5D98E9C8" w:rsidR="008F73DC" w:rsidRDefault="003876B7" w:rsidP="006F151D">
      <w:pPr>
        <w:pStyle w:val="Zkladntext"/>
        <w:jc w:val="both"/>
      </w:pPr>
      <w:r>
        <w:t>V průběhu řízení o poskytnutí dotace si poskytovatel vyhrazuje možnost postupu v souladu s</w:t>
      </w:r>
      <w:r w:rsidR="00F70A97">
        <w:t> </w:t>
      </w:r>
      <w:r>
        <w:t>§</w:t>
      </w:r>
      <w:r w:rsidR="004C54BF">
        <w:t> </w:t>
      </w:r>
      <w:r>
        <w:t>14k odstavec</w:t>
      </w:r>
      <w:r w:rsidR="00064BB3">
        <w:t xml:space="preserve"> </w:t>
      </w:r>
      <w:r>
        <w:t>1</w:t>
      </w:r>
      <w:r>
        <w:rPr>
          <w:spacing w:val="-13"/>
        </w:rPr>
        <w:t xml:space="preserve"> </w:t>
      </w:r>
      <w:r>
        <w:t>a</w:t>
      </w:r>
      <w:r>
        <w:rPr>
          <w:spacing w:val="-16"/>
        </w:rPr>
        <w:t xml:space="preserve"> </w:t>
      </w:r>
      <w:r>
        <w:t>3</w:t>
      </w:r>
      <w:r>
        <w:rPr>
          <w:spacing w:val="-1"/>
        </w:rPr>
        <w:t xml:space="preserve"> </w:t>
      </w:r>
      <w:r>
        <w:t>zákona</w:t>
      </w:r>
      <w:r>
        <w:rPr>
          <w:spacing w:val="-16"/>
        </w:rPr>
        <w:t xml:space="preserve"> </w:t>
      </w:r>
      <w:r>
        <w:t>č.</w:t>
      </w:r>
      <w:r>
        <w:rPr>
          <w:spacing w:val="-16"/>
        </w:rPr>
        <w:t xml:space="preserve"> </w:t>
      </w:r>
      <w:r>
        <w:t>218/2000</w:t>
      </w:r>
      <w:r>
        <w:rPr>
          <w:spacing w:val="-18"/>
        </w:rPr>
        <w:t xml:space="preserve"> </w:t>
      </w:r>
      <w:r>
        <w:t>Sb.,</w:t>
      </w:r>
      <w:r>
        <w:rPr>
          <w:spacing w:val="-14"/>
        </w:rPr>
        <w:t xml:space="preserve"> </w:t>
      </w:r>
      <w:r>
        <w:t>o</w:t>
      </w:r>
      <w:r>
        <w:rPr>
          <w:spacing w:val="-14"/>
        </w:rPr>
        <w:t xml:space="preserve"> </w:t>
      </w:r>
      <w:r>
        <w:t>rozpočtových</w:t>
      </w:r>
      <w:r>
        <w:rPr>
          <w:spacing w:val="-13"/>
        </w:rPr>
        <w:t xml:space="preserve"> </w:t>
      </w:r>
      <w:r>
        <w:t>pravidlech</w:t>
      </w:r>
      <w:r>
        <w:rPr>
          <w:spacing w:val="-12"/>
        </w:rPr>
        <w:t xml:space="preserve"> </w:t>
      </w:r>
      <w:r>
        <w:t>a</w:t>
      </w:r>
      <w:r>
        <w:rPr>
          <w:spacing w:val="-14"/>
        </w:rPr>
        <w:t xml:space="preserve"> </w:t>
      </w:r>
      <w:r>
        <w:t>o</w:t>
      </w:r>
      <w:r>
        <w:rPr>
          <w:spacing w:val="-16"/>
        </w:rPr>
        <w:t xml:space="preserve"> </w:t>
      </w:r>
      <w:r>
        <w:t>změně</w:t>
      </w:r>
      <w:r>
        <w:rPr>
          <w:spacing w:val="-13"/>
        </w:rPr>
        <w:t xml:space="preserve"> </w:t>
      </w:r>
      <w:r>
        <w:t>některých</w:t>
      </w:r>
      <w:r>
        <w:rPr>
          <w:spacing w:val="-13"/>
        </w:rPr>
        <w:t xml:space="preserve"> </w:t>
      </w:r>
      <w:r>
        <w:t>souvisejících</w:t>
      </w:r>
      <w:r>
        <w:rPr>
          <w:spacing w:val="-13"/>
        </w:rPr>
        <w:t xml:space="preserve"> </w:t>
      </w:r>
      <w:r>
        <w:t>zákonů</w:t>
      </w:r>
      <w:r>
        <w:rPr>
          <w:spacing w:val="-15"/>
        </w:rPr>
        <w:t xml:space="preserve"> </w:t>
      </w:r>
      <w:r>
        <w:t>(rozpočtová pravidla). Ustanovení § 14k odst. 4, § 14l a § 14p využita</w:t>
      </w:r>
      <w:r>
        <w:rPr>
          <w:spacing w:val="-9"/>
        </w:rPr>
        <w:t xml:space="preserve"> </w:t>
      </w:r>
      <w:r>
        <w:t>nebudou.</w:t>
      </w:r>
      <w:r w:rsidR="00926788">
        <w:t xml:space="preserve"> </w:t>
      </w:r>
      <w:r w:rsidR="00895908">
        <w:t>Národní úřad pro kybernetickou a informační bezpečnost jako</w:t>
      </w:r>
      <w:r w:rsidR="00672C33">
        <w:t xml:space="preserve"> vyhlašovatel Výzvy a </w:t>
      </w:r>
      <w:r w:rsidR="00895908">
        <w:t>Poskytovatel podpory si vyhrazují právo provádět změny ve Výzvě.</w:t>
      </w:r>
    </w:p>
    <w:p w14:paraId="36AD94E8" w14:textId="769C1624" w:rsidR="00BF206A" w:rsidRDefault="00544497" w:rsidP="008C745E">
      <w:pPr>
        <w:pStyle w:val="Nadpis1"/>
      </w:pPr>
      <w:r>
        <w:t>8</w:t>
      </w:r>
      <w:r w:rsidR="00BF206A">
        <w:t>. Hodnocení žádostí o poskytnutí dotace</w:t>
      </w:r>
    </w:p>
    <w:p w14:paraId="3C3652FC" w14:textId="77777777" w:rsidR="003876B7" w:rsidRDefault="002F358C" w:rsidP="00370C48">
      <w:pPr>
        <w:pStyle w:val="Zkladntext"/>
        <w:jc w:val="both"/>
      </w:pPr>
      <w:r>
        <w:t>Poskytovatel posoudí splnění formálních náležitostí obdržených žádostí o poskytnutí dotace,</w:t>
      </w:r>
      <w:r w:rsidR="009812AA">
        <w:t xml:space="preserve"> </w:t>
      </w:r>
      <w:r>
        <w:t>tedy správnost</w:t>
      </w:r>
      <w:r w:rsidR="009812AA">
        <w:t xml:space="preserve"> </w:t>
      </w:r>
      <w:r>
        <w:t>jejich podání podle kap. 5, kompletnost podle kap. 6 a oprávněnost žadatele podle kap. 3.</w:t>
      </w:r>
    </w:p>
    <w:p w14:paraId="0B1A6B10" w14:textId="77777777" w:rsidR="002F358C" w:rsidRDefault="0048495E" w:rsidP="00370C48">
      <w:pPr>
        <w:pStyle w:val="Zkladntext"/>
        <w:jc w:val="both"/>
      </w:pPr>
      <w:r>
        <w:t>Žádosti, které splní formální náležitosti Výzvy, budou dále Poskytovatelem posouzeny z hlediska způsobilosti</w:t>
      </w:r>
      <w:r w:rsidR="009812AA">
        <w:t xml:space="preserve"> </w:t>
      </w:r>
      <w:r>
        <w:t>a výše nákladů podle kap. 4, požadovaných Žadatelem, z hlediska dodržování podmínek vyplývajících z Nařízení RRF a souvisejících předpisů podle kap. 8 a z hlediska průkaznosti dokumentů uvedených v příloze žádosti.</w:t>
      </w:r>
    </w:p>
    <w:p w14:paraId="0F89EC4E" w14:textId="51EDFF66" w:rsidR="0048495E" w:rsidRDefault="00294E3F" w:rsidP="00370C48">
      <w:pPr>
        <w:pStyle w:val="Zkladntext"/>
        <w:jc w:val="both"/>
      </w:pPr>
      <w:r>
        <w:t>V případě odstranitelných nedostatků žádosti nebo neúplnosti přiložených dokumentů může Poskytovatel</w:t>
      </w:r>
      <w:r w:rsidR="000749E6">
        <w:t xml:space="preserve"> </w:t>
      </w:r>
      <w:r>
        <w:t>vyzvat Žadatele</w:t>
      </w:r>
      <w:r w:rsidR="00C35613">
        <w:t xml:space="preserve"> maximálně dvakrát</w:t>
      </w:r>
      <w:r>
        <w:t xml:space="preserve"> k jejich odstranění či doplnění ve lhůtě max. 5 pracovních dnů od doručení výzvy do datové schránky Žadatele. Pokud Žadatel popsané nedostatky neodstraní nebo nedoplní ve stanovené lhůtě, bude žádost z dalšího posuzování vyřazena.</w:t>
      </w:r>
    </w:p>
    <w:p w14:paraId="393B153F" w14:textId="77777777" w:rsidR="00294E3F" w:rsidRDefault="00B05478" w:rsidP="00370C48">
      <w:pPr>
        <w:pStyle w:val="Zkladntext"/>
        <w:jc w:val="both"/>
      </w:pPr>
      <w:r>
        <w:t>Poskytovatel má právo rozhodnout o neuznání nebo krácení některých uplatněných nákladů, které</w:t>
      </w:r>
      <w:r>
        <w:rPr>
          <w:spacing w:val="40"/>
        </w:rPr>
        <w:t xml:space="preserve"> </w:t>
      </w:r>
      <w:r>
        <w:t>nesplňují</w:t>
      </w:r>
      <w:r w:rsidR="0099227C">
        <w:t xml:space="preserve"> </w:t>
      </w:r>
      <w:r>
        <w:t>podmínky</w:t>
      </w:r>
      <w:r>
        <w:rPr>
          <w:spacing w:val="6"/>
        </w:rPr>
        <w:t xml:space="preserve"> </w:t>
      </w:r>
      <w:r>
        <w:t>této</w:t>
      </w:r>
      <w:r>
        <w:rPr>
          <w:spacing w:val="6"/>
        </w:rPr>
        <w:t xml:space="preserve"> </w:t>
      </w:r>
      <w:r>
        <w:t>Výzvy</w:t>
      </w:r>
      <w:r>
        <w:rPr>
          <w:spacing w:val="6"/>
        </w:rPr>
        <w:t xml:space="preserve"> </w:t>
      </w:r>
      <w:r>
        <w:t>nebo</w:t>
      </w:r>
      <w:r>
        <w:rPr>
          <w:spacing w:val="6"/>
        </w:rPr>
        <w:t xml:space="preserve"> </w:t>
      </w:r>
      <w:r>
        <w:t>jejich</w:t>
      </w:r>
      <w:r>
        <w:rPr>
          <w:spacing w:val="7"/>
        </w:rPr>
        <w:t xml:space="preserve"> </w:t>
      </w:r>
      <w:r>
        <w:t>přiměřenost</w:t>
      </w:r>
      <w:r>
        <w:rPr>
          <w:spacing w:val="7"/>
        </w:rPr>
        <w:t xml:space="preserve"> </w:t>
      </w:r>
      <w:r>
        <w:t>není</w:t>
      </w:r>
      <w:r>
        <w:rPr>
          <w:spacing w:val="6"/>
        </w:rPr>
        <w:t xml:space="preserve"> </w:t>
      </w:r>
      <w:r>
        <w:t>Žadatelem</w:t>
      </w:r>
      <w:r>
        <w:rPr>
          <w:spacing w:val="6"/>
        </w:rPr>
        <w:t xml:space="preserve"> </w:t>
      </w:r>
      <w:r>
        <w:t>v</w:t>
      </w:r>
      <w:r>
        <w:rPr>
          <w:spacing w:val="1"/>
        </w:rPr>
        <w:t xml:space="preserve"> </w:t>
      </w:r>
      <w:r>
        <w:t>žádosti</w:t>
      </w:r>
      <w:r>
        <w:rPr>
          <w:spacing w:val="7"/>
        </w:rPr>
        <w:t xml:space="preserve"> </w:t>
      </w:r>
      <w:r>
        <w:t>uspokojivě</w:t>
      </w:r>
      <w:r>
        <w:rPr>
          <w:spacing w:val="5"/>
        </w:rPr>
        <w:t xml:space="preserve"> </w:t>
      </w:r>
      <w:r>
        <w:t>doložena,</w:t>
      </w:r>
      <w:r>
        <w:rPr>
          <w:spacing w:val="7"/>
        </w:rPr>
        <w:t xml:space="preserve"> </w:t>
      </w:r>
      <w:r>
        <w:t>a</w:t>
      </w:r>
      <w:r>
        <w:rPr>
          <w:spacing w:val="6"/>
        </w:rPr>
        <w:t xml:space="preserve"> </w:t>
      </w:r>
      <w:r>
        <w:t>to</w:t>
      </w:r>
      <w:r>
        <w:rPr>
          <w:spacing w:val="8"/>
        </w:rPr>
        <w:t xml:space="preserve"> </w:t>
      </w:r>
      <w:r>
        <w:t>ani</w:t>
      </w:r>
      <w:r w:rsidR="0099227C">
        <w:t xml:space="preserve"> </w:t>
      </w:r>
      <w:r>
        <w:t>v případné dodatečné lhůtě stanovené Poskytovatelem pro doplnění a opravu žádosti.</w:t>
      </w:r>
    </w:p>
    <w:p w14:paraId="2AAAF279" w14:textId="5D0A6D78" w:rsidR="003919D1" w:rsidRDefault="00544497" w:rsidP="006A0BB3">
      <w:pPr>
        <w:pStyle w:val="Nadpis1"/>
      </w:pPr>
      <w:r>
        <w:t>9</w:t>
      </w:r>
      <w:r w:rsidR="006A0BB3">
        <w:t xml:space="preserve">. </w:t>
      </w:r>
      <w:r w:rsidR="003919D1">
        <w:t>Závěrečná ustanovení</w:t>
      </w:r>
    </w:p>
    <w:p w14:paraId="7B24C499" w14:textId="77777777" w:rsidR="00B05478" w:rsidRDefault="00216B7A" w:rsidP="00370C48">
      <w:pPr>
        <w:pStyle w:val="Zkladntext"/>
        <w:jc w:val="both"/>
      </w:pPr>
      <w:r>
        <w:t>Podmínky</w:t>
      </w:r>
      <w:r>
        <w:rPr>
          <w:spacing w:val="10"/>
        </w:rPr>
        <w:t xml:space="preserve"> </w:t>
      </w:r>
      <w:r>
        <w:t>čerpání</w:t>
      </w:r>
      <w:r>
        <w:rPr>
          <w:spacing w:val="11"/>
        </w:rPr>
        <w:t xml:space="preserve"> </w:t>
      </w:r>
      <w:r>
        <w:t>a</w:t>
      </w:r>
      <w:r>
        <w:rPr>
          <w:spacing w:val="11"/>
        </w:rPr>
        <w:t xml:space="preserve"> </w:t>
      </w:r>
      <w:r>
        <w:t>užití</w:t>
      </w:r>
      <w:r>
        <w:rPr>
          <w:spacing w:val="10"/>
        </w:rPr>
        <w:t xml:space="preserve"> </w:t>
      </w:r>
      <w:r>
        <w:t>podpory</w:t>
      </w:r>
      <w:r>
        <w:rPr>
          <w:spacing w:val="11"/>
        </w:rPr>
        <w:t xml:space="preserve"> </w:t>
      </w:r>
      <w:r>
        <w:t>poskytnuté</w:t>
      </w:r>
      <w:r>
        <w:rPr>
          <w:spacing w:val="11"/>
        </w:rPr>
        <w:t xml:space="preserve"> </w:t>
      </w:r>
      <w:r>
        <w:t>na</w:t>
      </w:r>
      <w:r>
        <w:rPr>
          <w:spacing w:val="10"/>
        </w:rPr>
        <w:t xml:space="preserve"> </w:t>
      </w:r>
      <w:r>
        <w:t>základě</w:t>
      </w:r>
      <w:r>
        <w:rPr>
          <w:spacing w:val="10"/>
        </w:rPr>
        <w:t xml:space="preserve"> </w:t>
      </w:r>
      <w:r>
        <w:t>této</w:t>
      </w:r>
      <w:r>
        <w:rPr>
          <w:spacing w:val="11"/>
        </w:rPr>
        <w:t xml:space="preserve"> </w:t>
      </w:r>
      <w:r>
        <w:t>Výzvy</w:t>
      </w:r>
      <w:r>
        <w:rPr>
          <w:spacing w:val="11"/>
        </w:rPr>
        <w:t xml:space="preserve"> </w:t>
      </w:r>
      <w:r>
        <w:t>bude</w:t>
      </w:r>
      <w:r>
        <w:rPr>
          <w:spacing w:val="9"/>
        </w:rPr>
        <w:t xml:space="preserve"> </w:t>
      </w:r>
      <w:r>
        <w:t>specifikovat</w:t>
      </w:r>
      <w:r>
        <w:rPr>
          <w:spacing w:val="11"/>
        </w:rPr>
        <w:t xml:space="preserve"> </w:t>
      </w:r>
      <w:r>
        <w:t>Rozhodnutí.</w:t>
      </w:r>
      <w:r>
        <w:rPr>
          <w:spacing w:val="11"/>
        </w:rPr>
        <w:t xml:space="preserve"> </w:t>
      </w:r>
    </w:p>
    <w:p w14:paraId="4C972E12" w14:textId="77777777" w:rsidR="00216B7A" w:rsidRDefault="00BF4923" w:rsidP="00370C48">
      <w:pPr>
        <w:pStyle w:val="Zkladntext"/>
        <w:jc w:val="both"/>
      </w:pPr>
      <w:r>
        <w:t>Příjemce podpory bude zejména povinen dodržovat podmínky vyplývající z Nařízení RRF a</w:t>
      </w:r>
      <w:r w:rsidR="00F70A97">
        <w:t> </w:t>
      </w:r>
      <w:r>
        <w:t>souvisejících</w:t>
      </w:r>
      <w:r w:rsidR="00B74CF8">
        <w:t xml:space="preserve"> </w:t>
      </w:r>
      <w:r>
        <w:t xml:space="preserve">předpisů (především v oblasti tzv. </w:t>
      </w:r>
      <w:proofErr w:type="spellStart"/>
      <w:r>
        <w:t>Red</w:t>
      </w:r>
      <w:proofErr w:type="spellEnd"/>
      <w:r>
        <w:t xml:space="preserve"> </w:t>
      </w:r>
      <w:proofErr w:type="spellStart"/>
      <w:r>
        <w:t>Flags</w:t>
      </w:r>
      <w:proofErr w:type="spellEnd"/>
      <w:r>
        <w:t>), které se týkají především těchto oblastí:</w:t>
      </w:r>
    </w:p>
    <w:p w14:paraId="5ECF588E" w14:textId="1DB4C928" w:rsidR="00B74CF8" w:rsidRDefault="006368F6" w:rsidP="00370C48">
      <w:pPr>
        <w:pStyle w:val="Zkladntext"/>
        <w:numPr>
          <w:ilvl w:val="0"/>
          <w:numId w:val="14"/>
        </w:numPr>
        <w:jc w:val="both"/>
      </w:pPr>
      <w:r>
        <w:t>vyloučení</w:t>
      </w:r>
      <w:r>
        <w:rPr>
          <w:spacing w:val="-4"/>
        </w:rPr>
        <w:t xml:space="preserve"> </w:t>
      </w:r>
      <w:r>
        <w:t>dvojího</w:t>
      </w:r>
      <w:r>
        <w:rPr>
          <w:spacing w:val="-5"/>
        </w:rPr>
        <w:t xml:space="preserve"> </w:t>
      </w:r>
      <w:r>
        <w:t>financování,</w:t>
      </w:r>
      <w:r>
        <w:rPr>
          <w:spacing w:val="-5"/>
        </w:rPr>
        <w:t xml:space="preserve"> </w:t>
      </w:r>
      <w:r>
        <w:t>tedy</w:t>
      </w:r>
      <w:r>
        <w:rPr>
          <w:spacing w:val="-4"/>
        </w:rPr>
        <w:t xml:space="preserve"> </w:t>
      </w:r>
      <w:r>
        <w:t>podezření</w:t>
      </w:r>
      <w:r>
        <w:rPr>
          <w:spacing w:val="-4"/>
        </w:rPr>
        <w:t xml:space="preserve"> </w:t>
      </w:r>
      <w:r>
        <w:t>na</w:t>
      </w:r>
      <w:r>
        <w:rPr>
          <w:spacing w:val="-4"/>
        </w:rPr>
        <w:t xml:space="preserve"> </w:t>
      </w:r>
      <w:r>
        <w:t>dvojí</w:t>
      </w:r>
      <w:r>
        <w:rPr>
          <w:spacing w:val="-4"/>
        </w:rPr>
        <w:t xml:space="preserve"> </w:t>
      </w:r>
      <w:r>
        <w:t>uplatnění</w:t>
      </w:r>
      <w:r>
        <w:rPr>
          <w:spacing w:val="-4"/>
        </w:rPr>
        <w:t xml:space="preserve"> </w:t>
      </w:r>
      <w:r>
        <w:t>shodných</w:t>
      </w:r>
      <w:r>
        <w:rPr>
          <w:spacing w:val="-6"/>
        </w:rPr>
        <w:t xml:space="preserve"> </w:t>
      </w:r>
      <w:r>
        <w:t>nákladů</w:t>
      </w:r>
      <w:r>
        <w:rPr>
          <w:spacing w:val="-2"/>
        </w:rPr>
        <w:t xml:space="preserve"> </w:t>
      </w:r>
      <w:r>
        <w:t>pro</w:t>
      </w:r>
      <w:r>
        <w:rPr>
          <w:spacing w:val="-4"/>
        </w:rPr>
        <w:t xml:space="preserve"> </w:t>
      </w:r>
      <w:r>
        <w:t>získání</w:t>
      </w:r>
      <w:r>
        <w:rPr>
          <w:spacing w:val="-3"/>
        </w:rPr>
        <w:t xml:space="preserve"> </w:t>
      </w:r>
      <w:r>
        <w:t>dotace</w:t>
      </w:r>
      <w:r w:rsidR="00B74CF8">
        <w:t xml:space="preserve"> </w:t>
      </w:r>
      <w:r>
        <w:t>(je</w:t>
      </w:r>
      <w:r w:rsidRPr="00B74CF8">
        <w:rPr>
          <w:spacing w:val="-9"/>
        </w:rPr>
        <w:t xml:space="preserve"> </w:t>
      </w:r>
      <w:r>
        <w:t>povoleno</w:t>
      </w:r>
      <w:r w:rsidRPr="00B74CF8">
        <w:rPr>
          <w:spacing w:val="-9"/>
        </w:rPr>
        <w:t xml:space="preserve"> </w:t>
      </w:r>
      <w:r>
        <w:t>financování</w:t>
      </w:r>
      <w:r w:rsidRPr="00B74CF8">
        <w:rPr>
          <w:spacing w:val="-7"/>
        </w:rPr>
        <w:t xml:space="preserve"> </w:t>
      </w:r>
      <w:r>
        <w:t>způsobilých</w:t>
      </w:r>
      <w:r w:rsidRPr="00B74CF8">
        <w:rPr>
          <w:spacing w:val="-9"/>
        </w:rPr>
        <w:t xml:space="preserve"> </w:t>
      </w:r>
      <w:r>
        <w:t>nákladů</w:t>
      </w:r>
      <w:r w:rsidRPr="00B74CF8">
        <w:rPr>
          <w:spacing w:val="-9"/>
        </w:rPr>
        <w:t xml:space="preserve"> </w:t>
      </w:r>
      <w:r>
        <w:t>projektu</w:t>
      </w:r>
      <w:r w:rsidRPr="00B74CF8">
        <w:rPr>
          <w:spacing w:val="-7"/>
        </w:rPr>
        <w:t xml:space="preserve"> </w:t>
      </w:r>
      <w:r>
        <w:t>z</w:t>
      </w:r>
      <w:r w:rsidRPr="00B74CF8">
        <w:rPr>
          <w:spacing w:val="-3"/>
        </w:rPr>
        <w:t xml:space="preserve"> </w:t>
      </w:r>
      <w:r>
        <w:t>programu</w:t>
      </w:r>
      <w:r w:rsidRPr="00B74CF8">
        <w:rPr>
          <w:spacing w:val="-8"/>
        </w:rPr>
        <w:t xml:space="preserve"> </w:t>
      </w:r>
      <w:r>
        <w:t>Digitální</w:t>
      </w:r>
      <w:r w:rsidRPr="00B74CF8">
        <w:rPr>
          <w:spacing w:val="-7"/>
        </w:rPr>
        <w:t xml:space="preserve"> </w:t>
      </w:r>
      <w:r>
        <w:t>Evropa,</w:t>
      </w:r>
      <w:r w:rsidRPr="00B74CF8">
        <w:rPr>
          <w:spacing w:val="-10"/>
        </w:rPr>
        <w:t xml:space="preserve"> </w:t>
      </w:r>
      <w:r>
        <w:t>nicméně</w:t>
      </w:r>
      <w:r w:rsidRPr="00B74CF8">
        <w:rPr>
          <w:spacing w:val="-10"/>
        </w:rPr>
        <w:t xml:space="preserve"> </w:t>
      </w:r>
      <w:r>
        <w:t>i</w:t>
      </w:r>
      <w:r w:rsidRPr="00B74CF8">
        <w:rPr>
          <w:spacing w:val="-9"/>
        </w:rPr>
        <w:t xml:space="preserve"> </w:t>
      </w:r>
      <w:r>
        <w:t>v</w:t>
      </w:r>
      <w:r w:rsidR="00B74CF8">
        <w:rPr>
          <w:spacing w:val="-1"/>
        </w:rPr>
        <w:t> </w:t>
      </w:r>
      <w:r>
        <w:t>tomto</w:t>
      </w:r>
      <w:r w:rsidR="00B74CF8">
        <w:t xml:space="preserve"> </w:t>
      </w:r>
      <w:r>
        <w:t xml:space="preserve">případě nesmí jít o </w:t>
      </w:r>
      <w:r w:rsidR="00856EB3">
        <w:t xml:space="preserve">nedovolené </w:t>
      </w:r>
      <w:r>
        <w:t>dvojí financování identických nákladů</w:t>
      </w:r>
      <w:r w:rsidR="00856EB3">
        <w:t>, nicméně je možné jeden výdaj financovat ze dvou zdrojů.</w:t>
      </w:r>
      <w:r>
        <w:t>),</w:t>
      </w:r>
    </w:p>
    <w:p w14:paraId="53852EA1" w14:textId="7D6D2ECA" w:rsidR="001D7703" w:rsidRDefault="006368F6" w:rsidP="00370C48">
      <w:pPr>
        <w:pStyle w:val="Zkladntext"/>
        <w:numPr>
          <w:ilvl w:val="0"/>
          <w:numId w:val="14"/>
        </w:numPr>
        <w:jc w:val="both"/>
      </w:pPr>
      <w:r>
        <w:t>vyhodnocování rizika potenciálního střetu zájmů za účelem jeho vyloučení, a to na všech úrovních, tedy jak mezi Poskytovatelem a Příjemcem, Příjemcem a konečným příjemcem podpory</w:t>
      </w:r>
      <w:r w:rsidR="00C35613">
        <w:t>,</w:t>
      </w:r>
      <w:r w:rsidR="00CE6B8C">
        <w:t xml:space="preserve"> </w:t>
      </w:r>
      <w:r>
        <w:t>Příjemcem a dodavateli</w:t>
      </w:r>
      <w:r w:rsidR="00C35613">
        <w:t xml:space="preserve"> či Příjemcem a subdod</w:t>
      </w:r>
      <w:r w:rsidR="00CE6B8C">
        <w:t>a</w:t>
      </w:r>
      <w:r w:rsidR="00C35613">
        <w:t>vateli</w:t>
      </w:r>
      <w:r>
        <w:t xml:space="preserve">, a vyloučení </w:t>
      </w:r>
      <w:r>
        <w:lastRenderedPageBreak/>
        <w:t>dalších možných oblastí vedoucích k ohrožení finančních zájmů Evropské unie,</w:t>
      </w:r>
    </w:p>
    <w:p w14:paraId="375AB7AC" w14:textId="77777777" w:rsidR="001D7703" w:rsidRDefault="006368F6" w:rsidP="00370C48">
      <w:pPr>
        <w:pStyle w:val="Zkladntext"/>
        <w:numPr>
          <w:ilvl w:val="0"/>
          <w:numId w:val="14"/>
        </w:numPr>
        <w:jc w:val="both"/>
      </w:pPr>
      <w:r>
        <w:t>projekt nesmí porušovat horizontální politiky EU a jejich základní principy, zejména:</w:t>
      </w:r>
    </w:p>
    <w:p w14:paraId="2E450B84" w14:textId="77777777" w:rsidR="00794D8A" w:rsidRDefault="00F65F93" w:rsidP="00370C48">
      <w:pPr>
        <w:pStyle w:val="Zkladntext"/>
        <w:numPr>
          <w:ilvl w:val="1"/>
          <w:numId w:val="14"/>
        </w:numPr>
        <w:jc w:val="both"/>
      </w:pPr>
      <w:r>
        <w:t>rovné příležitosti mezi muži a ženami (rovnost mužů a žen, odstraňování diskriminace na</w:t>
      </w:r>
      <w:r w:rsidR="001D7703">
        <w:t xml:space="preserve"> </w:t>
      </w:r>
      <w:r>
        <w:t>základě pohlaví, rasy, etnického původu, náboženského vyznání, světového názoru, zdravotního postižení, věku nebo sexuální orientace),</w:t>
      </w:r>
    </w:p>
    <w:p w14:paraId="29D78C1D" w14:textId="77777777" w:rsidR="001D7703" w:rsidRDefault="00F65F93" w:rsidP="00370C48">
      <w:pPr>
        <w:pStyle w:val="Zkladntext"/>
        <w:numPr>
          <w:ilvl w:val="1"/>
          <w:numId w:val="14"/>
        </w:numPr>
        <w:jc w:val="both"/>
      </w:pPr>
      <w:r>
        <w:t>rovné příležitosti a nediskriminace (např. z důvodu sociálního vyloučení nebo zdravotního postižení),</w:t>
      </w:r>
    </w:p>
    <w:p w14:paraId="4D27011D" w14:textId="77777777" w:rsidR="001D7703" w:rsidRDefault="00F65F93" w:rsidP="00370C48">
      <w:pPr>
        <w:pStyle w:val="Zkladntext"/>
        <w:numPr>
          <w:ilvl w:val="1"/>
          <w:numId w:val="14"/>
        </w:numPr>
        <w:jc w:val="both"/>
      </w:pPr>
      <w:r>
        <w:t>udržitelný rozvoj/DNSH (splnění právních předpisů EU a ČR v oblasti ochrany životního prostředí),</w:t>
      </w:r>
    </w:p>
    <w:p w14:paraId="6C62816F" w14:textId="77777777" w:rsidR="00FB058C" w:rsidRDefault="00FB058C" w:rsidP="00370C48">
      <w:pPr>
        <w:pStyle w:val="Zkladntext"/>
        <w:numPr>
          <w:ilvl w:val="0"/>
          <w:numId w:val="14"/>
        </w:numPr>
        <w:jc w:val="both"/>
      </w:pPr>
      <w:r>
        <w:t>dodržování povinné publicity (povinnosti informovat uživatele EDIH a veřejnost o</w:t>
      </w:r>
      <w:r w:rsidR="00F70A97">
        <w:t> </w:t>
      </w:r>
      <w:r>
        <w:t>podpoře z RRF);</w:t>
      </w:r>
    </w:p>
    <w:p w14:paraId="1A0C7F9B" w14:textId="77777777" w:rsidR="00F65F93" w:rsidRDefault="000424A1" w:rsidP="00370C48">
      <w:pPr>
        <w:pStyle w:val="Zkladntext"/>
        <w:jc w:val="both"/>
      </w:pPr>
      <w:r>
        <w:t>Žadatel bere na vědomí, že v případě závažného neplnění podmínek Rozhodnutí musí být poskytnutá dotace</w:t>
      </w:r>
      <w:r w:rsidR="00E56D09">
        <w:t xml:space="preserve"> </w:t>
      </w:r>
      <w:r>
        <w:t>či její poměrná část vrácena v souladu s podmínkami Rozhodnutí a</w:t>
      </w:r>
      <w:r w:rsidR="00370C48">
        <w:t> </w:t>
      </w:r>
      <w:r>
        <w:t>relevantních právních předpisů.</w:t>
      </w:r>
    </w:p>
    <w:p w14:paraId="6C880F95" w14:textId="77777777" w:rsidR="001664A1" w:rsidRDefault="001664A1" w:rsidP="00370C48">
      <w:pPr>
        <w:pStyle w:val="Zkladntext"/>
        <w:jc w:val="both"/>
      </w:pPr>
      <w:r>
        <w:t>Na dotaci z této Výzvy není právní nárok.</w:t>
      </w:r>
    </w:p>
    <w:p w14:paraId="3ACAC2C3" w14:textId="74168150" w:rsidR="001F0FC5" w:rsidRDefault="00544497" w:rsidP="008D7358">
      <w:pPr>
        <w:pStyle w:val="Nadpis1"/>
      </w:pPr>
      <w:r>
        <w:t>10</w:t>
      </w:r>
      <w:r w:rsidR="001F0FC5">
        <w:t>. Vymezení některých pojmů</w:t>
      </w:r>
    </w:p>
    <w:p w14:paraId="0F9E8198" w14:textId="77777777" w:rsidR="001F0FC5" w:rsidRDefault="005E6B49" w:rsidP="00255DAE">
      <w:pPr>
        <w:pStyle w:val="Zkladntext"/>
        <w:jc w:val="both"/>
      </w:pPr>
      <w:r>
        <w:t>Zainteresovaná osoba žadatele – osoba, která může mít z realizace projektu, který je předmětem žádosti o</w:t>
      </w:r>
      <w:r w:rsidR="00E56D09">
        <w:t xml:space="preserve"> </w:t>
      </w:r>
      <w:r>
        <w:t>podporu, přímý či nepřímý prospěch, a u které je třeba prokázat neexistenci střetu zájmů. Je to vždy přinejmenším každý její statutární orgán / člen statutárního orgánu, prokurista či člen dozorčí rady, dále také společník s podílem v osobě žadatele a jeho skuteční majitelé. Mezi zainteresované osoby žadatele je řazen také hlavní řešitel projektu.</w:t>
      </w:r>
    </w:p>
    <w:p w14:paraId="4EDE5406" w14:textId="77777777" w:rsidR="005E6B49" w:rsidRDefault="007A295A" w:rsidP="00255DAE">
      <w:pPr>
        <w:pStyle w:val="Zkladntext"/>
        <w:jc w:val="both"/>
      </w:pPr>
      <w:r>
        <w:t>Střet</w:t>
      </w:r>
      <w:r>
        <w:rPr>
          <w:spacing w:val="-9"/>
        </w:rPr>
        <w:t xml:space="preserve"> </w:t>
      </w:r>
      <w:r>
        <w:t>zájmů</w:t>
      </w:r>
      <w:r>
        <w:rPr>
          <w:spacing w:val="-11"/>
        </w:rPr>
        <w:t xml:space="preserve"> </w:t>
      </w:r>
      <w:r>
        <w:t>–</w:t>
      </w:r>
      <w:r>
        <w:rPr>
          <w:spacing w:val="-6"/>
        </w:rPr>
        <w:t xml:space="preserve"> </w:t>
      </w:r>
      <w:r>
        <w:t>v</w:t>
      </w:r>
      <w:r>
        <w:rPr>
          <w:spacing w:val="-10"/>
        </w:rPr>
        <w:t xml:space="preserve"> </w:t>
      </w:r>
      <w:r>
        <w:t>souladu</w:t>
      </w:r>
      <w:r>
        <w:rPr>
          <w:spacing w:val="-6"/>
        </w:rPr>
        <w:t xml:space="preserve"> </w:t>
      </w:r>
      <w:r>
        <w:t>se</w:t>
      </w:r>
      <w:r>
        <w:rPr>
          <w:spacing w:val="-7"/>
        </w:rPr>
        <w:t xml:space="preserve"> </w:t>
      </w:r>
      <w:r>
        <w:t>zákonem</w:t>
      </w:r>
      <w:r>
        <w:rPr>
          <w:spacing w:val="-8"/>
        </w:rPr>
        <w:t xml:space="preserve"> </w:t>
      </w:r>
      <w:r>
        <w:t>č.</w:t>
      </w:r>
      <w:r>
        <w:rPr>
          <w:spacing w:val="-7"/>
        </w:rPr>
        <w:t xml:space="preserve"> </w:t>
      </w:r>
      <w:r>
        <w:t>159/2006</w:t>
      </w:r>
      <w:r>
        <w:rPr>
          <w:spacing w:val="-6"/>
        </w:rPr>
        <w:t xml:space="preserve"> </w:t>
      </w:r>
      <w:r>
        <w:t>Sb.,</w:t>
      </w:r>
      <w:r>
        <w:rPr>
          <w:spacing w:val="-7"/>
        </w:rPr>
        <w:t xml:space="preserve"> </w:t>
      </w:r>
      <w:r>
        <w:t>o</w:t>
      </w:r>
      <w:r>
        <w:rPr>
          <w:spacing w:val="-7"/>
        </w:rPr>
        <w:t xml:space="preserve"> </w:t>
      </w:r>
      <w:r>
        <w:t>střetu</w:t>
      </w:r>
      <w:r>
        <w:rPr>
          <w:spacing w:val="-7"/>
        </w:rPr>
        <w:t xml:space="preserve"> </w:t>
      </w:r>
      <w:r>
        <w:t>zájmů,</w:t>
      </w:r>
      <w:r>
        <w:rPr>
          <w:spacing w:val="-8"/>
        </w:rPr>
        <w:t xml:space="preserve"> </w:t>
      </w:r>
      <w:r>
        <w:t>situace,</w:t>
      </w:r>
      <w:r>
        <w:rPr>
          <w:spacing w:val="-7"/>
        </w:rPr>
        <w:t xml:space="preserve"> </w:t>
      </w:r>
      <w:r>
        <w:t>kdy</w:t>
      </w:r>
      <w:r>
        <w:rPr>
          <w:spacing w:val="-8"/>
        </w:rPr>
        <w:t xml:space="preserve"> </w:t>
      </w:r>
      <w:r>
        <w:t>osoba</w:t>
      </w:r>
      <w:r>
        <w:rPr>
          <w:spacing w:val="-7"/>
        </w:rPr>
        <w:t xml:space="preserve"> </w:t>
      </w:r>
      <w:r>
        <w:t>rozhoduje</w:t>
      </w:r>
      <w:r>
        <w:rPr>
          <w:spacing w:val="-4"/>
        </w:rPr>
        <w:t xml:space="preserve"> </w:t>
      </w:r>
      <w:r>
        <w:t>o</w:t>
      </w:r>
      <w:r>
        <w:rPr>
          <w:spacing w:val="-7"/>
        </w:rPr>
        <w:t xml:space="preserve"> </w:t>
      </w:r>
      <w:r>
        <w:t>veřejných</w:t>
      </w:r>
      <w:r w:rsidR="00E56D09">
        <w:t xml:space="preserve"> </w:t>
      </w:r>
      <w:r>
        <w:t>prostředcích (dotace, veřejné zakázky), ale ve vztahu k subjektu, který má z rozhodnutí prospěch, není ve vyváženém vztahu, který by zajistil objektivní rozhodování (z důvodu vazby ekonomické, personální, rodinné, citové). Při posuzování existence střetu zájmů ve spojitosti s podporou poskytnutou na základě Výzvy bude dále brán zřetel na relevantní ustanovení Finančního nařízení, zejména článek 61, k jehož aplikaci poskytuje další</w:t>
      </w:r>
      <w:r>
        <w:rPr>
          <w:spacing w:val="-7"/>
        </w:rPr>
        <w:t xml:space="preserve"> </w:t>
      </w:r>
      <w:r>
        <w:t>závazný</w:t>
      </w:r>
      <w:r>
        <w:rPr>
          <w:spacing w:val="-7"/>
        </w:rPr>
        <w:t xml:space="preserve"> </w:t>
      </w:r>
      <w:r>
        <w:t>výklad</w:t>
      </w:r>
      <w:r>
        <w:rPr>
          <w:spacing w:val="-7"/>
        </w:rPr>
        <w:t xml:space="preserve"> </w:t>
      </w:r>
      <w:r>
        <w:t>„Průvodce</w:t>
      </w:r>
      <w:r>
        <w:rPr>
          <w:spacing w:val="-7"/>
        </w:rPr>
        <w:t xml:space="preserve"> </w:t>
      </w:r>
      <w:r>
        <w:t>pro</w:t>
      </w:r>
      <w:r>
        <w:rPr>
          <w:spacing w:val="-8"/>
        </w:rPr>
        <w:t xml:space="preserve"> </w:t>
      </w:r>
      <w:r>
        <w:t>oblast</w:t>
      </w:r>
      <w:r>
        <w:rPr>
          <w:spacing w:val="-10"/>
        </w:rPr>
        <w:t xml:space="preserve"> </w:t>
      </w:r>
      <w:r>
        <w:t>střetu</w:t>
      </w:r>
      <w:r>
        <w:rPr>
          <w:spacing w:val="-6"/>
        </w:rPr>
        <w:t xml:space="preserve"> </w:t>
      </w:r>
      <w:r>
        <w:t>zájmů</w:t>
      </w:r>
      <w:r>
        <w:rPr>
          <w:spacing w:val="-8"/>
        </w:rPr>
        <w:t xml:space="preserve"> </w:t>
      </w:r>
      <w:r>
        <w:t>dle</w:t>
      </w:r>
      <w:r>
        <w:rPr>
          <w:spacing w:val="-8"/>
        </w:rPr>
        <w:t xml:space="preserve"> </w:t>
      </w:r>
      <w:r>
        <w:t>čl.</w:t>
      </w:r>
      <w:r>
        <w:rPr>
          <w:spacing w:val="-8"/>
        </w:rPr>
        <w:t xml:space="preserve"> </w:t>
      </w:r>
      <w:r>
        <w:t>61</w:t>
      </w:r>
      <w:r>
        <w:rPr>
          <w:spacing w:val="-7"/>
        </w:rPr>
        <w:t xml:space="preserve"> </w:t>
      </w:r>
      <w:r>
        <w:t>Finančního</w:t>
      </w:r>
      <w:r>
        <w:rPr>
          <w:spacing w:val="-8"/>
        </w:rPr>
        <w:t xml:space="preserve"> </w:t>
      </w:r>
      <w:r>
        <w:t>nařízení</w:t>
      </w:r>
      <w:r>
        <w:rPr>
          <w:spacing w:val="-6"/>
        </w:rPr>
        <w:t xml:space="preserve"> </w:t>
      </w:r>
      <w:r>
        <w:t>pro</w:t>
      </w:r>
      <w:r>
        <w:rPr>
          <w:spacing w:val="-8"/>
        </w:rPr>
        <w:t xml:space="preserve"> </w:t>
      </w:r>
      <w:r>
        <w:t>Národní</w:t>
      </w:r>
      <w:r>
        <w:rPr>
          <w:spacing w:val="-8"/>
        </w:rPr>
        <w:t xml:space="preserve"> </w:t>
      </w:r>
      <w:r>
        <w:t>plán</w:t>
      </w:r>
      <w:r>
        <w:rPr>
          <w:spacing w:val="-7"/>
        </w:rPr>
        <w:t xml:space="preserve"> </w:t>
      </w:r>
      <w:r>
        <w:t>obnovy na období</w:t>
      </w:r>
      <w:r>
        <w:rPr>
          <w:spacing w:val="-2"/>
        </w:rPr>
        <w:t xml:space="preserve"> </w:t>
      </w:r>
      <w:r>
        <w:t>2021-2026“.</w:t>
      </w:r>
    </w:p>
    <w:p w14:paraId="424A3FAC" w14:textId="150B3158" w:rsidR="007A295A" w:rsidRDefault="00084F28" w:rsidP="00255DAE">
      <w:pPr>
        <w:pStyle w:val="Zkladntext"/>
        <w:jc w:val="both"/>
      </w:pPr>
      <w:r>
        <w:t xml:space="preserve">Princip DNSH (Do No </w:t>
      </w:r>
      <w:proofErr w:type="spellStart"/>
      <w:r>
        <w:t>Significant</w:t>
      </w:r>
      <w:proofErr w:type="spellEnd"/>
      <w:r>
        <w:t xml:space="preserve"> </w:t>
      </w:r>
      <w:proofErr w:type="spellStart"/>
      <w:r>
        <w:t>Harm</w:t>
      </w:r>
      <w:proofErr w:type="spellEnd"/>
      <w:r>
        <w:t>) - požadavek významně nepoškozovat cíle EU ve stanovených</w:t>
      </w:r>
      <w:r w:rsidR="00E56D09">
        <w:t xml:space="preserve"> </w:t>
      </w:r>
      <w:r>
        <w:t>tematických</w:t>
      </w:r>
      <w:r>
        <w:rPr>
          <w:spacing w:val="-6"/>
        </w:rPr>
        <w:t xml:space="preserve"> </w:t>
      </w:r>
      <w:r>
        <w:t>oblastech</w:t>
      </w:r>
      <w:r>
        <w:rPr>
          <w:spacing w:val="-6"/>
        </w:rPr>
        <w:t xml:space="preserve"> </w:t>
      </w:r>
      <w:r>
        <w:t>ve</w:t>
      </w:r>
      <w:r>
        <w:rPr>
          <w:spacing w:val="-10"/>
        </w:rPr>
        <w:t xml:space="preserve"> </w:t>
      </w:r>
      <w:r>
        <w:t>smyslu</w:t>
      </w:r>
      <w:r>
        <w:rPr>
          <w:spacing w:val="-5"/>
        </w:rPr>
        <w:t xml:space="preserve"> </w:t>
      </w:r>
      <w:r>
        <w:t>článku</w:t>
      </w:r>
      <w:r>
        <w:rPr>
          <w:spacing w:val="-9"/>
        </w:rPr>
        <w:t xml:space="preserve"> </w:t>
      </w:r>
      <w:r>
        <w:t>17</w:t>
      </w:r>
      <w:r>
        <w:rPr>
          <w:spacing w:val="-3"/>
        </w:rPr>
        <w:t xml:space="preserve"> </w:t>
      </w:r>
      <w:r>
        <w:t>Nařízení</w:t>
      </w:r>
      <w:r>
        <w:rPr>
          <w:spacing w:val="-5"/>
        </w:rPr>
        <w:t xml:space="preserve"> </w:t>
      </w:r>
      <w:r>
        <w:t>Evropského</w:t>
      </w:r>
      <w:r>
        <w:rPr>
          <w:spacing w:val="-6"/>
        </w:rPr>
        <w:t xml:space="preserve"> </w:t>
      </w:r>
      <w:r>
        <w:t>parlamentu</w:t>
      </w:r>
      <w:r>
        <w:rPr>
          <w:spacing w:val="-6"/>
        </w:rPr>
        <w:t xml:space="preserve"> </w:t>
      </w:r>
      <w:r>
        <w:t>a</w:t>
      </w:r>
      <w:r>
        <w:rPr>
          <w:spacing w:val="-1"/>
        </w:rPr>
        <w:t xml:space="preserve"> </w:t>
      </w:r>
      <w:r>
        <w:t>Rady</w:t>
      </w:r>
      <w:r>
        <w:rPr>
          <w:spacing w:val="-6"/>
        </w:rPr>
        <w:t xml:space="preserve"> </w:t>
      </w:r>
      <w:r>
        <w:t>(EU)</w:t>
      </w:r>
      <w:r>
        <w:rPr>
          <w:spacing w:val="-7"/>
        </w:rPr>
        <w:t xml:space="preserve"> </w:t>
      </w:r>
      <w:r>
        <w:t>2020/852</w:t>
      </w:r>
      <w:r>
        <w:rPr>
          <w:spacing w:val="-5"/>
        </w:rPr>
        <w:t xml:space="preserve"> </w:t>
      </w:r>
      <w:r>
        <w:t>ze</w:t>
      </w:r>
      <w:r>
        <w:rPr>
          <w:spacing w:val="-6"/>
        </w:rPr>
        <w:t xml:space="preserve"> </w:t>
      </w:r>
      <w:r>
        <w:t>dne</w:t>
      </w:r>
      <w:r>
        <w:rPr>
          <w:spacing w:val="-6"/>
        </w:rPr>
        <w:t xml:space="preserve"> </w:t>
      </w:r>
      <w:r>
        <w:t>18. června 2020 o zřízení rámce pro usnadnění udržitelných investic a o změně nařízení (EU) 2019/2088 (tzv. Nařízení o</w:t>
      </w:r>
      <w:r>
        <w:rPr>
          <w:spacing w:val="-1"/>
        </w:rPr>
        <w:t xml:space="preserve"> </w:t>
      </w:r>
      <w:r>
        <w:t>Taxonomii).</w:t>
      </w:r>
    </w:p>
    <w:p w14:paraId="6970B89C" w14:textId="2FEF7840" w:rsidR="00062B2A" w:rsidRDefault="00062B2A" w:rsidP="00255DAE">
      <w:pPr>
        <w:pStyle w:val="Zkladntext"/>
        <w:jc w:val="both"/>
      </w:pPr>
      <w:r>
        <w:t>Kvantová komunikační infrastruktura (QCI) - kvantová</w:t>
      </w:r>
      <w:r w:rsidRPr="00062B2A">
        <w:t xml:space="preserve"> </w:t>
      </w:r>
      <w:r>
        <w:t>síť umožňující vysokou míru bezpečnosti komunikace</w:t>
      </w:r>
      <w:r w:rsidRPr="00062B2A">
        <w:t xml:space="preserve"> před kybernetickými hrozbami. Hlavní funkcí QCI bude umožnit distribuci kvantových klíčů (QKD), což je mimořádně bezpečná forma šifrování. </w:t>
      </w:r>
      <w:r>
        <w:t>I</w:t>
      </w:r>
      <w:r w:rsidRPr="00062B2A">
        <w:t xml:space="preserve">mplementace komunikační infrastruktury založené na kvantové technologii </w:t>
      </w:r>
      <w:proofErr w:type="gramStart"/>
      <w:r w:rsidRPr="00062B2A">
        <w:t>zaruč</w:t>
      </w:r>
      <w:r>
        <w:t>í</w:t>
      </w:r>
      <w:proofErr w:type="gramEnd"/>
      <w:r w:rsidRPr="00062B2A">
        <w:t xml:space="preserve"> bezpečnost digitálních transakcí na krátké i dlouhé vzdálenosti.</w:t>
      </w:r>
    </w:p>
    <w:p w14:paraId="35798CFD" w14:textId="77777777" w:rsidR="00044CB2" w:rsidRDefault="00044CB2" w:rsidP="008D7358">
      <w:pPr>
        <w:pStyle w:val="Zkladntext"/>
      </w:pPr>
      <w:r>
        <w:rPr>
          <w:u w:val="single"/>
        </w:rPr>
        <w:t>Přílohy</w:t>
      </w:r>
      <w:r>
        <w:rPr>
          <w:spacing w:val="-18"/>
          <w:u w:val="single"/>
        </w:rPr>
        <w:t xml:space="preserve"> </w:t>
      </w:r>
      <w:r>
        <w:rPr>
          <w:u w:val="single"/>
        </w:rPr>
        <w:t>výzvy:</w:t>
      </w:r>
    </w:p>
    <w:p w14:paraId="46059ECD" w14:textId="77777777" w:rsidR="00146A04" w:rsidRPr="00146A04" w:rsidRDefault="00146A04" w:rsidP="00146A04">
      <w:pPr>
        <w:pStyle w:val="Odstavecseseznamem"/>
        <w:widowControl/>
        <w:numPr>
          <w:ilvl w:val="0"/>
          <w:numId w:val="21"/>
        </w:numPr>
        <w:autoSpaceDE/>
        <w:autoSpaceDN/>
        <w:spacing w:before="12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Formulář žádosti o poskytnutí dotace</w:t>
      </w:r>
    </w:p>
    <w:p w14:paraId="60A9F3F7" w14:textId="77777777" w:rsidR="00146A04" w:rsidRPr="00146A04" w:rsidRDefault="00146A04" w:rsidP="00146A04">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lastRenderedPageBreak/>
        <w:t>Rozpočet pro projekt</w:t>
      </w:r>
    </w:p>
    <w:p w14:paraId="73012E3C" w14:textId="77777777" w:rsidR="00146A04" w:rsidRPr="00146A04" w:rsidRDefault="00146A04" w:rsidP="00146A04">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pro účely poskytnutí podpory mimo režim veřejné podpory</w:t>
      </w:r>
    </w:p>
    <w:p w14:paraId="0F579608" w14:textId="77777777" w:rsidR="00146A04" w:rsidRPr="00146A04" w:rsidRDefault="00146A04" w:rsidP="00146A04">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příjemce k</w:t>
      </w:r>
      <w:r w:rsidRPr="00146A04">
        <w:rPr>
          <w:rFonts w:asciiTheme="minorHAnsi" w:hAnsiTheme="minorHAnsi" w:cstheme="minorHAnsi"/>
          <w:b/>
          <w:i/>
          <w:color w:val="000000" w:themeColor="text1"/>
          <w:sz w:val="24"/>
          <w:szCs w:val="24"/>
        </w:rPr>
        <w:t xml:space="preserve"> </w:t>
      </w:r>
      <w:r w:rsidRPr="00852A51">
        <w:rPr>
          <w:rFonts w:asciiTheme="minorHAnsi" w:hAnsiTheme="minorHAnsi" w:cstheme="minorHAnsi"/>
          <w:bCs/>
          <w:i/>
          <w:color w:val="000000" w:themeColor="text1"/>
          <w:sz w:val="24"/>
          <w:szCs w:val="24"/>
        </w:rPr>
        <w:t>Rozhodnutí o poskytnutí dotace</w:t>
      </w:r>
      <w:r w:rsidRPr="00146A04">
        <w:rPr>
          <w:rFonts w:asciiTheme="minorHAnsi" w:hAnsiTheme="minorHAnsi" w:cstheme="minorHAnsi"/>
          <w:b/>
          <w:i/>
          <w:color w:val="000000" w:themeColor="text1"/>
          <w:sz w:val="24"/>
          <w:szCs w:val="24"/>
        </w:rPr>
        <w:t xml:space="preserve"> </w:t>
      </w:r>
      <w:r w:rsidRPr="00146A04">
        <w:rPr>
          <w:rFonts w:asciiTheme="minorHAnsi" w:hAnsiTheme="minorHAnsi" w:cstheme="minorHAnsi"/>
          <w:i/>
          <w:color w:val="000000" w:themeColor="text1"/>
          <w:sz w:val="24"/>
          <w:szCs w:val="24"/>
        </w:rPr>
        <w:t>(dále jen</w:t>
      </w:r>
      <w:r w:rsidRPr="00146A04">
        <w:rPr>
          <w:rFonts w:asciiTheme="minorHAnsi" w:hAnsiTheme="minorHAnsi" w:cstheme="minorHAnsi"/>
          <w:color w:val="000000" w:themeColor="text1"/>
          <w:sz w:val="24"/>
          <w:szCs w:val="24"/>
        </w:rPr>
        <w:t> „</w:t>
      </w:r>
      <w:proofErr w:type="spellStart"/>
      <w:r w:rsidRPr="00146A04">
        <w:rPr>
          <w:rFonts w:asciiTheme="minorHAnsi" w:hAnsiTheme="minorHAnsi" w:cstheme="minorHAnsi"/>
          <w:color w:val="000000" w:themeColor="text1"/>
          <w:sz w:val="24"/>
          <w:szCs w:val="24"/>
        </w:rPr>
        <w:t>RoPD</w:t>
      </w:r>
      <w:proofErr w:type="spellEnd"/>
      <w:r w:rsidRPr="00146A04">
        <w:rPr>
          <w:rFonts w:asciiTheme="minorHAnsi" w:hAnsiTheme="minorHAnsi" w:cstheme="minorHAnsi"/>
          <w:color w:val="000000" w:themeColor="text1"/>
          <w:sz w:val="24"/>
          <w:szCs w:val="24"/>
        </w:rPr>
        <w:t>“)</w:t>
      </w:r>
    </w:p>
    <w:p w14:paraId="2E23697B" w14:textId="77777777" w:rsidR="00146A04" w:rsidRPr="00146A04" w:rsidRDefault="00146A04" w:rsidP="00146A04">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k zásadě významně nepoškozovat (</w:t>
      </w:r>
      <w:r w:rsidRPr="00146A04">
        <w:rPr>
          <w:rFonts w:asciiTheme="minorHAnsi" w:hAnsiTheme="minorHAnsi" w:cstheme="minorHAnsi"/>
          <w:i/>
          <w:color w:val="000000" w:themeColor="text1"/>
          <w:sz w:val="24"/>
          <w:szCs w:val="24"/>
        </w:rPr>
        <w:t>dále jen</w:t>
      </w:r>
      <w:r w:rsidRPr="00146A04">
        <w:rPr>
          <w:rFonts w:asciiTheme="minorHAnsi" w:hAnsiTheme="minorHAnsi" w:cstheme="minorHAnsi"/>
          <w:color w:val="000000" w:themeColor="text1"/>
          <w:sz w:val="24"/>
          <w:szCs w:val="24"/>
        </w:rPr>
        <w:t xml:space="preserve"> „DNSH“)</w:t>
      </w:r>
    </w:p>
    <w:p w14:paraId="1F924C7B" w14:textId="77777777" w:rsidR="00146A04" w:rsidRPr="00146A04" w:rsidRDefault="00146A04" w:rsidP="00146A04">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Čestné prohlášení o způsobilosti žadatele</w:t>
      </w:r>
    </w:p>
    <w:p w14:paraId="5404A79E" w14:textId="77777777" w:rsidR="006F60BA" w:rsidRDefault="00146A04" w:rsidP="006F60BA">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146A04">
        <w:rPr>
          <w:rFonts w:asciiTheme="minorHAnsi" w:hAnsiTheme="minorHAnsi" w:cstheme="minorHAnsi"/>
          <w:color w:val="000000" w:themeColor="text1"/>
          <w:sz w:val="24"/>
          <w:szCs w:val="24"/>
        </w:rPr>
        <w:t xml:space="preserve">Čestné prohlášení k vyloučení střetu zájmů </w:t>
      </w:r>
    </w:p>
    <w:p w14:paraId="6914524F" w14:textId="3B8A51C1" w:rsidR="006F60BA" w:rsidRDefault="006F60BA" w:rsidP="006F60BA">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6F60BA">
        <w:rPr>
          <w:rFonts w:asciiTheme="minorHAnsi" w:hAnsiTheme="minorHAnsi" w:cstheme="minorHAnsi"/>
          <w:color w:val="000000" w:themeColor="text1"/>
          <w:sz w:val="24"/>
          <w:szCs w:val="24"/>
        </w:rPr>
        <w:t xml:space="preserve">Kritéria pro hodnocení </w:t>
      </w:r>
      <w:r w:rsidR="00FE3C42">
        <w:rPr>
          <w:rFonts w:asciiTheme="minorHAnsi" w:hAnsiTheme="minorHAnsi" w:cstheme="minorHAnsi"/>
          <w:color w:val="000000" w:themeColor="text1"/>
          <w:sz w:val="24"/>
          <w:szCs w:val="24"/>
        </w:rPr>
        <w:t xml:space="preserve">a výběr </w:t>
      </w:r>
      <w:r w:rsidRPr="006F60BA">
        <w:rPr>
          <w:rFonts w:asciiTheme="minorHAnsi" w:hAnsiTheme="minorHAnsi" w:cstheme="minorHAnsi"/>
          <w:color w:val="000000" w:themeColor="text1"/>
          <w:sz w:val="24"/>
          <w:szCs w:val="24"/>
        </w:rPr>
        <w:t>projekt</w:t>
      </w:r>
      <w:r w:rsidR="00804109" w:rsidRPr="00852A51">
        <w:rPr>
          <w:rFonts w:asciiTheme="minorHAnsi" w:hAnsiTheme="minorHAnsi" w:cstheme="minorHAnsi"/>
          <w:color w:val="000000" w:themeColor="text1"/>
          <w:sz w:val="24"/>
          <w:szCs w:val="24"/>
        </w:rPr>
        <w:t>ů</w:t>
      </w:r>
    </w:p>
    <w:p w14:paraId="1383F195" w14:textId="77777777" w:rsidR="00FE3C42" w:rsidRDefault="00FE3C42" w:rsidP="00FE3C42">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B97602">
        <w:rPr>
          <w:rFonts w:asciiTheme="minorHAnsi" w:hAnsiTheme="minorHAnsi" w:cstheme="minorHAnsi"/>
          <w:color w:val="000000" w:themeColor="text1"/>
          <w:sz w:val="24"/>
          <w:szCs w:val="24"/>
        </w:rPr>
        <w:t>Metodický pokyn systému varovných signálů „</w:t>
      </w:r>
      <w:proofErr w:type="spellStart"/>
      <w:r w:rsidRPr="00B97602">
        <w:rPr>
          <w:rFonts w:asciiTheme="minorHAnsi" w:hAnsiTheme="minorHAnsi" w:cstheme="minorHAnsi"/>
          <w:color w:val="000000" w:themeColor="text1"/>
          <w:sz w:val="24"/>
          <w:szCs w:val="24"/>
        </w:rPr>
        <w:t>R</w:t>
      </w:r>
      <w:r>
        <w:rPr>
          <w:rFonts w:asciiTheme="minorHAnsi" w:hAnsiTheme="minorHAnsi" w:cstheme="minorHAnsi"/>
          <w:color w:val="000000" w:themeColor="text1"/>
          <w:sz w:val="24"/>
          <w:szCs w:val="24"/>
        </w:rPr>
        <w:t>ed</w:t>
      </w:r>
      <w:proofErr w:type="spellEnd"/>
      <w:r w:rsidRPr="00B97602">
        <w:rPr>
          <w:rFonts w:asciiTheme="minorHAnsi" w:hAnsiTheme="minorHAnsi" w:cstheme="minorHAnsi"/>
          <w:color w:val="000000" w:themeColor="text1"/>
          <w:sz w:val="24"/>
          <w:szCs w:val="24"/>
        </w:rPr>
        <w:t xml:space="preserve"> </w:t>
      </w:r>
      <w:proofErr w:type="spellStart"/>
      <w:r w:rsidRPr="00B97602">
        <w:rPr>
          <w:rFonts w:asciiTheme="minorHAnsi" w:hAnsiTheme="minorHAnsi" w:cstheme="minorHAnsi"/>
          <w:color w:val="000000" w:themeColor="text1"/>
          <w:sz w:val="24"/>
          <w:szCs w:val="24"/>
        </w:rPr>
        <w:t>F</w:t>
      </w:r>
      <w:r>
        <w:rPr>
          <w:rFonts w:asciiTheme="minorHAnsi" w:hAnsiTheme="minorHAnsi" w:cstheme="minorHAnsi"/>
          <w:color w:val="000000" w:themeColor="text1"/>
          <w:sz w:val="24"/>
          <w:szCs w:val="24"/>
        </w:rPr>
        <w:t>lags</w:t>
      </w:r>
      <w:proofErr w:type="spellEnd"/>
      <w:r w:rsidRPr="00B97602">
        <w:rPr>
          <w:rFonts w:asciiTheme="minorHAnsi" w:hAnsiTheme="minorHAnsi" w:cstheme="minorHAnsi"/>
          <w:color w:val="000000" w:themeColor="text1"/>
          <w:sz w:val="24"/>
          <w:szCs w:val="24"/>
        </w:rPr>
        <w:t>“ pro Národní plán obnovy na období 2021–2026</w:t>
      </w:r>
    </w:p>
    <w:p w14:paraId="47D78E9C" w14:textId="77777777" w:rsidR="00FE3C42" w:rsidRDefault="00FE3C42" w:rsidP="00FE3C42">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Kontrolní list pro kontrolu „</w:t>
      </w:r>
      <w:proofErr w:type="spellStart"/>
      <w:r>
        <w:rPr>
          <w:rFonts w:asciiTheme="minorHAnsi" w:hAnsiTheme="minorHAnsi" w:cstheme="minorHAnsi"/>
          <w:color w:val="000000" w:themeColor="text1"/>
          <w:sz w:val="24"/>
          <w:szCs w:val="24"/>
        </w:rPr>
        <w:t>Red</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Flags</w:t>
      </w:r>
      <w:proofErr w:type="spellEnd"/>
      <w:r>
        <w:rPr>
          <w:rFonts w:asciiTheme="minorHAnsi" w:hAnsiTheme="minorHAnsi" w:cstheme="minorHAnsi"/>
          <w:color w:val="000000" w:themeColor="text1"/>
          <w:sz w:val="24"/>
          <w:szCs w:val="24"/>
        </w:rPr>
        <w:t>“</w:t>
      </w:r>
    </w:p>
    <w:p w14:paraId="3386DA54" w14:textId="77777777" w:rsidR="00FE3C42" w:rsidRPr="00146A04" w:rsidRDefault="00FE3C42" w:rsidP="00FE3C42">
      <w:pPr>
        <w:pStyle w:val="Odstavecseseznamem"/>
        <w:widowControl/>
        <w:numPr>
          <w:ilvl w:val="0"/>
          <w:numId w:val="21"/>
        </w:numPr>
        <w:autoSpaceDE/>
        <w:autoSpaceDN/>
        <w:spacing w:before="60" w:after="120" w:line="360" w:lineRule="auto"/>
        <w:jc w:val="both"/>
        <w:rPr>
          <w:rFonts w:asciiTheme="minorHAnsi" w:hAnsiTheme="minorHAnsi" w:cstheme="minorHAnsi"/>
          <w:color w:val="000000" w:themeColor="text1"/>
          <w:sz w:val="24"/>
          <w:szCs w:val="24"/>
        </w:rPr>
      </w:pPr>
      <w:r w:rsidRPr="00B97602">
        <w:rPr>
          <w:rFonts w:asciiTheme="minorHAnsi" w:hAnsiTheme="minorHAnsi" w:cstheme="minorHAnsi"/>
          <w:color w:val="000000" w:themeColor="text1"/>
          <w:sz w:val="24"/>
          <w:szCs w:val="24"/>
        </w:rPr>
        <w:t>Principy vyloučení střetu zájmů, varovných signálů „</w:t>
      </w:r>
      <w:proofErr w:type="spellStart"/>
      <w:r w:rsidRPr="00B97602">
        <w:rPr>
          <w:rFonts w:asciiTheme="minorHAnsi" w:hAnsiTheme="minorHAnsi" w:cstheme="minorHAnsi"/>
          <w:color w:val="000000" w:themeColor="text1"/>
          <w:sz w:val="24"/>
          <w:szCs w:val="24"/>
        </w:rPr>
        <w:t>Red</w:t>
      </w:r>
      <w:proofErr w:type="spellEnd"/>
      <w:r w:rsidRPr="00B97602">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F</w:t>
      </w:r>
      <w:r w:rsidRPr="00B97602">
        <w:rPr>
          <w:rFonts w:asciiTheme="minorHAnsi" w:hAnsiTheme="minorHAnsi" w:cstheme="minorHAnsi"/>
          <w:color w:val="000000" w:themeColor="text1"/>
          <w:sz w:val="24"/>
          <w:szCs w:val="24"/>
        </w:rPr>
        <w:t>lags</w:t>
      </w:r>
      <w:proofErr w:type="spellEnd"/>
      <w:r w:rsidRPr="00B97602">
        <w:rPr>
          <w:rFonts w:asciiTheme="minorHAnsi" w:hAnsiTheme="minorHAnsi" w:cstheme="minorHAnsi"/>
          <w:color w:val="000000" w:themeColor="text1"/>
          <w:sz w:val="24"/>
          <w:szCs w:val="24"/>
        </w:rPr>
        <w:t>“</w:t>
      </w:r>
    </w:p>
    <w:p w14:paraId="4C66EB12" w14:textId="446F2265" w:rsidR="00CE6B8C" w:rsidRPr="006F60BA" w:rsidRDefault="00CE6B8C" w:rsidP="00852A51">
      <w:pPr>
        <w:pStyle w:val="Odstavecseseznamem"/>
        <w:widowControl/>
        <w:autoSpaceDE/>
        <w:autoSpaceDN/>
        <w:spacing w:before="60" w:after="120" w:line="360" w:lineRule="auto"/>
        <w:jc w:val="both"/>
        <w:rPr>
          <w:rFonts w:asciiTheme="minorHAnsi" w:hAnsiTheme="minorHAnsi" w:cstheme="minorHAnsi"/>
          <w:color w:val="000000" w:themeColor="text1"/>
          <w:sz w:val="24"/>
          <w:szCs w:val="24"/>
        </w:rPr>
      </w:pPr>
    </w:p>
    <w:sectPr w:rsidR="00CE6B8C" w:rsidRPr="006F60B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A6E7" w14:textId="77777777" w:rsidR="005F6D88" w:rsidRDefault="005F6D88" w:rsidP="00FA71F3">
      <w:r>
        <w:separator/>
      </w:r>
    </w:p>
  </w:endnote>
  <w:endnote w:type="continuationSeparator" w:id="0">
    <w:p w14:paraId="656F64AB" w14:textId="77777777" w:rsidR="005F6D88" w:rsidRDefault="005F6D88" w:rsidP="00FA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ABE3" w14:textId="77777777" w:rsidR="007B3106" w:rsidRDefault="007B3106" w:rsidP="004962D8">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C0F0" w14:textId="77777777" w:rsidR="00EC6E1A" w:rsidRDefault="00EC6E1A" w:rsidP="004962D8">
    <w:pPr>
      <w:pStyle w:val="Zpat"/>
      <w:jc w:val="right"/>
    </w:pPr>
    <w:r>
      <w:t xml:space="preserve">Stránka </w:t>
    </w:r>
    <w:r>
      <w:rPr>
        <w:b/>
        <w:bCs/>
      </w:rPr>
      <w:fldChar w:fldCharType="begin"/>
    </w:r>
    <w:r>
      <w:rPr>
        <w:b/>
        <w:bCs/>
      </w:rPr>
      <w:instrText>PAGE  \* Arabic  \* MERGEFORMAT</w:instrText>
    </w:r>
    <w:r>
      <w:rPr>
        <w:b/>
        <w:bCs/>
      </w:rPr>
      <w:fldChar w:fldCharType="separate"/>
    </w:r>
    <w:r>
      <w:rPr>
        <w:b/>
        <w:bCs/>
      </w:rPr>
      <w:t>1</w:t>
    </w:r>
    <w:r>
      <w:rPr>
        <w:b/>
        <w:bCs/>
      </w:rPr>
      <w:fldChar w:fldCharType="end"/>
    </w:r>
    <w:r>
      <w:t>/</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DD16" w14:textId="77777777" w:rsidR="005F6D88" w:rsidRDefault="005F6D88" w:rsidP="00FA71F3">
      <w:r>
        <w:separator/>
      </w:r>
    </w:p>
  </w:footnote>
  <w:footnote w:type="continuationSeparator" w:id="0">
    <w:p w14:paraId="10E72304" w14:textId="77777777" w:rsidR="005F6D88" w:rsidRDefault="005F6D88" w:rsidP="00FA71F3">
      <w:r>
        <w:continuationSeparator/>
      </w:r>
    </w:p>
  </w:footnote>
  <w:footnote w:id="1">
    <w:p w14:paraId="6405DE0F" w14:textId="77777777" w:rsidR="0020045B" w:rsidRDefault="0020045B">
      <w:pPr>
        <w:pStyle w:val="Textpoznpodarou"/>
      </w:pPr>
      <w:r>
        <w:rPr>
          <w:rStyle w:val="Znakapoznpodarou"/>
        </w:rPr>
        <w:footnoteRef/>
      </w:r>
      <w:r>
        <w:t xml:space="preserve"> Ve smyslu definice obsažené v odst.1.3 písm. ff) Sdělení Komise: Rámec pro státní podporu výzkumu, vývoje a </w:t>
      </w:r>
    </w:p>
    <w:p w14:paraId="348C04C8" w14:textId="5E57A946" w:rsidR="0020045B" w:rsidRDefault="0020045B">
      <w:pPr>
        <w:pStyle w:val="Textpoznpodarou"/>
      </w:pPr>
      <w:r>
        <w:t>inovací (2022/C414/01)</w:t>
      </w:r>
    </w:p>
  </w:footnote>
  <w:footnote w:id="2">
    <w:p w14:paraId="68C277C2" w14:textId="723D7567" w:rsidR="00FE3C42" w:rsidRPr="00852A51" w:rsidRDefault="00FE3C42">
      <w:pPr>
        <w:pStyle w:val="Textpoznpodarou"/>
        <w:rPr>
          <w:lang w:val="sk-SK"/>
        </w:rPr>
      </w:pPr>
      <w:r>
        <w:rPr>
          <w:rStyle w:val="Znakapoznpodarou"/>
        </w:rPr>
        <w:footnoteRef/>
      </w:r>
      <w:r>
        <w:t xml:space="preserve"> </w:t>
      </w:r>
      <w:r w:rsidRPr="00852A51">
        <w:t>Kritéria podniku v obtížích jsou definována v novelizovaném nařízení Komise (EU) č. 651/2014 tzv. Obecném nařízení o blokových výjimkách (GBER)</w:t>
      </w:r>
      <w:r w:rsidRPr="00852A51">
        <w:rPr>
          <w:lang w:val="sk-SK"/>
        </w:rPr>
        <w:t xml:space="preserve"> </w:t>
      </w:r>
      <w:r w:rsidRPr="00852A51">
        <w:t>konkrétně v čl. 2, odst. 18.</w:t>
      </w:r>
    </w:p>
  </w:footnote>
  <w:footnote w:id="3">
    <w:p w14:paraId="152CA477" w14:textId="77777777" w:rsidR="00742473" w:rsidRDefault="00742473">
      <w:pPr>
        <w:pStyle w:val="Textpoznpodarou"/>
      </w:pPr>
      <w:r>
        <w:rPr>
          <w:rStyle w:val="Znakapoznpodarou"/>
        </w:rPr>
        <w:footnoteRef/>
      </w:r>
      <w:r>
        <w:t xml:space="preserve"> </w:t>
      </w:r>
      <w:r w:rsidRPr="00742473">
        <w:t>Finančnímu úřadu, České správě sociálního zabezpečení, zdravotním pojišťovnám, Státnímu pozemkovému úřadu, Ministerstvu financí, jako právnímu nástupci Fondu národního majetku, Státnímu fondu životního prostředí Státnímu fondu rozvoje bydlení, Celní správě ČR, Státnímu fondu kultury, Státnímu fondu kinematografie, Státnímu zemědělskému intervenčnímu fondu, krajům, obcím a svazkům obcí.</w:t>
      </w:r>
    </w:p>
  </w:footnote>
  <w:footnote w:id="4">
    <w:p w14:paraId="2543E9B3" w14:textId="1AFFC1F5" w:rsidR="00FE3C42" w:rsidRPr="00852A51" w:rsidRDefault="00FE3C42">
      <w:pPr>
        <w:pStyle w:val="Textpoznpodarou"/>
        <w:rPr>
          <w:lang w:val="sk-SK"/>
        </w:rPr>
      </w:pPr>
      <w:r>
        <w:rPr>
          <w:rStyle w:val="Znakapoznpodarou"/>
        </w:rPr>
        <w:footnoteRef/>
      </w:r>
      <w:r>
        <w:t xml:space="preserve"> </w:t>
      </w:r>
      <w:r w:rsidRPr="00852A51">
        <w:t>Podmínka je ukotvena v novelizovaném nařízení Komise (EU) č. 651/2014 tzv. Obecném nařízení o blokových výjimkách (GBER)</w:t>
      </w:r>
      <w:r w:rsidRPr="00852A51">
        <w:rPr>
          <w:lang w:val="sk-SK"/>
        </w:rPr>
        <w:t xml:space="preserve"> </w:t>
      </w:r>
      <w:r w:rsidRPr="00852A51">
        <w:t>konkrétně v čl. 1, odst. 4 bod a).</w:t>
      </w:r>
    </w:p>
  </w:footnote>
  <w:footnote w:id="5">
    <w:p w14:paraId="6CAE26E5" w14:textId="5583A85C" w:rsidR="00936386" w:rsidRDefault="00936386" w:rsidP="00936386">
      <w:pPr>
        <w:pStyle w:val="Textpoznpodarou"/>
      </w:pPr>
      <w:r>
        <w:rPr>
          <w:rStyle w:val="Znakapoznpodarou"/>
        </w:rPr>
        <w:footnoteRef/>
      </w:r>
      <w:r>
        <w:t xml:space="preserve"> Rozpočtové kategorie způsobilých a nezpůsobilých nákladů/výdajů specifikuje Digital </w:t>
      </w:r>
      <w:proofErr w:type="spellStart"/>
      <w:r>
        <w:t>Europe</w:t>
      </w:r>
      <w:proofErr w:type="spellEnd"/>
      <w:r>
        <w:t xml:space="preserve"> </w:t>
      </w:r>
      <w:proofErr w:type="spellStart"/>
      <w:r>
        <w:t>Programme</w:t>
      </w:r>
      <w:proofErr w:type="spellEnd"/>
      <w:r>
        <w:t xml:space="preserve"> (DIGITAL) </w:t>
      </w:r>
      <w:r w:rsidR="007255CE">
        <w:t>výzva</w:t>
      </w:r>
      <w:r w:rsidR="007255CE" w:rsidRPr="007255CE">
        <w:t xml:space="preserve"> (téma)</w:t>
      </w:r>
      <w:r w:rsidR="00431C5C">
        <w:t xml:space="preserve"> </w:t>
      </w:r>
      <w:r w:rsidR="00431C5C" w:rsidRPr="00B54582">
        <w:t>DIGITAL-2021-QCI-01-DEPLOY-NATIONAL</w:t>
      </w:r>
      <w:r>
        <w:t>.</w:t>
      </w:r>
    </w:p>
  </w:footnote>
  <w:footnote w:id="6">
    <w:p w14:paraId="70170BD6" w14:textId="77777777" w:rsidR="007525CA" w:rsidRDefault="007525CA">
      <w:pPr>
        <w:pStyle w:val="Textpoznpodarou"/>
      </w:pPr>
      <w:r>
        <w:rPr>
          <w:rStyle w:val="Znakapoznpodarou"/>
        </w:rPr>
        <w:footnoteRef/>
      </w:r>
      <w:r>
        <w:t xml:space="preserve"> </w:t>
      </w:r>
      <w:r w:rsidRPr="007525CA">
        <w:t>Případně elektronickým podpisem zplnomocněnce oprávněného podat za Žadatele žádost o poskytnutí dotace na základě doložené plné moci</w:t>
      </w:r>
      <w:r w:rsidR="002D293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A568" w14:textId="1CF4EA66" w:rsidR="00B27A29" w:rsidRDefault="00592AE0">
    <w:pPr>
      <w:pStyle w:val="Zhlav"/>
    </w:pPr>
    <w:r>
      <w:rPr>
        <w:noProof/>
      </w:rPr>
      <w:drawing>
        <wp:anchor distT="0" distB="0" distL="0" distR="0" simplePos="0" relativeHeight="251660288" behindDoc="1" locked="0" layoutInCell="1" allowOverlap="1" wp14:anchorId="35763012" wp14:editId="26628A69">
          <wp:simplePos x="0" y="0"/>
          <wp:positionH relativeFrom="page">
            <wp:posOffset>3084830</wp:posOffset>
          </wp:positionH>
          <wp:positionV relativeFrom="page">
            <wp:posOffset>238760</wp:posOffset>
          </wp:positionV>
          <wp:extent cx="1345565" cy="565150"/>
          <wp:effectExtent l="0" t="0" r="0" b="0"/>
          <wp:wrapNone/>
          <wp:docPr id="2028263055" name="Obrázek 2028263055" descr="Obsah obrázku Písmo, Grafika, text,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Obsah obrázku Písmo, Grafika, text, logo&#10;&#10;Popis byl vytvořen automaticky"/>
                  <pic:cNvPicPr/>
                </pic:nvPicPr>
                <pic:blipFill>
                  <a:blip r:embed="rId1" cstate="print"/>
                  <a:stretch>
                    <a:fillRect/>
                  </a:stretch>
                </pic:blipFill>
                <pic:spPr>
                  <a:xfrm>
                    <a:off x="0" y="0"/>
                    <a:ext cx="1345565" cy="565150"/>
                  </a:xfrm>
                  <a:prstGeom prst="rect">
                    <a:avLst/>
                  </a:prstGeom>
                </pic:spPr>
              </pic:pic>
            </a:graphicData>
          </a:graphic>
        </wp:anchor>
      </w:drawing>
    </w:r>
    <w:r>
      <w:rPr>
        <w:noProof/>
      </w:rPr>
      <w:drawing>
        <wp:anchor distT="0" distB="0" distL="114300" distR="114300" simplePos="0" relativeHeight="251662336" behindDoc="0" locked="0" layoutInCell="1" allowOverlap="1" wp14:anchorId="4BE63768" wp14:editId="5879FC12">
          <wp:simplePos x="0" y="0"/>
          <wp:positionH relativeFrom="margin">
            <wp:posOffset>3727450</wp:posOffset>
          </wp:positionH>
          <wp:positionV relativeFrom="paragraph">
            <wp:posOffset>-161925</wp:posOffset>
          </wp:positionV>
          <wp:extent cx="2091055" cy="520065"/>
          <wp:effectExtent l="0" t="0" r="4445" b="0"/>
          <wp:wrapNone/>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Obrázek 95"/>
                  <pic:cNvPicPr>
                    <a:picLocks noChangeAspect="1" noChangeArrowheads="1"/>
                  </pic:cNvPicPr>
                </pic:nvPicPr>
                <pic:blipFill rotWithShape="1">
                  <a:blip r:embed="rId2">
                    <a:extLst>
                      <a:ext uri="{28A0092B-C50C-407E-A947-70E740481C1C}">
                        <a14:useLocalDpi xmlns:a14="http://schemas.microsoft.com/office/drawing/2010/main" val="0"/>
                      </a:ext>
                    </a:extLst>
                  </a:blip>
                  <a:srcRect l="8203" t="21954" r="8815" b="21088"/>
                  <a:stretch/>
                </pic:blipFill>
                <pic:spPr bwMode="auto">
                  <a:xfrm>
                    <a:off x="0" y="0"/>
                    <a:ext cx="2091055" cy="520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A51">
      <w:rPr>
        <w:noProof/>
      </w:rPr>
      <w:drawing>
        <wp:anchor distT="0" distB="0" distL="0" distR="0" simplePos="0" relativeHeight="251659264" behindDoc="1" locked="0" layoutInCell="1" allowOverlap="1" wp14:anchorId="73C0AC81" wp14:editId="5BA1628A">
          <wp:simplePos x="0" y="0"/>
          <wp:positionH relativeFrom="page">
            <wp:posOffset>853440</wp:posOffset>
          </wp:positionH>
          <wp:positionV relativeFrom="page">
            <wp:posOffset>229870</wp:posOffset>
          </wp:positionV>
          <wp:extent cx="1896110" cy="532765"/>
          <wp:effectExtent l="0" t="0" r="0" b="0"/>
          <wp:wrapNone/>
          <wp:docPr id="1441818310" name="Obrázek 1441818310" descr="Obsah obrázku text, Písmo, Elektricky modrá,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sah obrázku text, Písmo, Elektricky modrá, snímek obrazovky&#10;&#10;Popis byl vytvořen automaticky"/>
                  <pic:cNvPicPr/>
                </pic:nvPicPr>
                <pic:blipFill>
                  <a:blip r:embed="rId3" cstate="print"/>
                  <a:stretch>
                    <a:fillRect/>
                  </a:stretch>
                </pic:blipFill>
                <pic:spPr>
                  <a:xfrm>
                    <a:off x="0" y="0"/>
                    <a:ext cx="1896110" cy="532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7027"/>
    <w:multiLevelType w:val="hybridMultilevel"/>
    <w:tmpl w:val="AA702F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D7340"/>
    <w:multiLevelType w:val="hybridMultilevel"/>
    <w:tmpl w:val="6D749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BD66B9"/>
    <w:multiLevelType w:val="hybridMultilevel"/>
    <w:tmpl w:val="0D40C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07395B"/>
    <w:multiLevelType w:val="hybridMultilevel"/>
    <w:tmpl w:val="21087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4745B3"/>
    <w:multiLevelType w:val="hybridMultilevel"/>
    <w:tmpl w:val="6D7E0812"/>
    <w:lvl w:ilvl="0" w:tplc="1CC03694">
      <w:numFmt w:val="bullet"/>
      <w:lvlText w:val="●"/>
      <w:lvlJc w:val="left"/>
      <w:pPr>
        <w:ind w:left="20" w:hanging="361"/>
      </w:pPr>
      <w:rPr>
        <w:rFonts w:ascii="Calibri" w:eastAsia="Calibri" w:hAnsi="Calibri" w:cs="Calibri" w:hint="default"/>
        <w:spacing w:val="-3"/>
        <w:w w:val="100"/>
        <w:sz w:val="24"/>
        <w:szCs w:val="24"/>
        <w:lang w:val="cs-CZ" w:eastAsia="cs-CZ" w:bidi="cs-CZ"/>
      </w:rPr>
    </w:lvl>
    <w:lvl w:ilvl="1" w:tplc="45C61640">
      <w:numFmt w:val="bullet"/>
      <w:lvlText w:val="•"/>
      <w:lvlJc w:val="left"/>
      <w:pPr>
        <w:ind w:left="1068" w:hanging="361"/>
      </w:pPr>
      <w:rPr>
        <w:rFonts w:hint="default"/>
        <w:lang w:val="cs-CZ" w:eastAsia="cs-CZ" w:bidi="cs-CZ"/>
      </w:rPr>
    </w:lvl>
    <w:lvl w:ilvl="2" w:tplc="EF58B6FA">
      <w:numFmt w:val="bullet"/>
      <w:lvlText w:val="•"/>
      <w:lvlJc w:val="left"/>
      <w:pPr>
        <w:ind w:left="2117" w:hanging="361"/>
      </w:pPr>
      <w:rPr>
        <w:rFonts w:hint="default"/>
        <w:lang w:val="cs-CZ" w:eastAsia="cs-CZ" w:bidi="cs-CZ"/>
      </w:rPr>
    </w:lvl>
    <w:lvl w:ilvl="3" w:tplc="0DACD01A">
      <w:numFmt w:val="bullet"/>
      <w:lvlText w:val="•"/>
      <w:lvlJc w:val="left"/>
      <w:pPr>
        <w:ind w:left="3166" w:hanging="361"/>
      </w:pPr>
      <w:rPr>
        <w:rFonts w:hint="default"/>
        <w:lang w:val="cs-CZ" w:eastAsia="cs-CZ" w:bidi="cs-CZ"/>
      </w:rPr>
    </w:lvl>
    <w:lvl w:ilvl="4" w:tplc="273CA608">
      <w:numFmt w:val="bullet"/>
      <w:lvlText w:val="•"/>
      <w:lvlJc w:val="left"/>
      <w:pPr>
        <w:ind w:left="4215" w:hanging="361"/>
      </w:pPr>
      <w:rPr>
        <w:rFonts w:hint="default"/>
        <w:lang w:val="cs-CZ" w:eastAsia="cs-CZ" w:bidi="cs-CZ"/>
      </w:rPr>
    </w:lvl>
    <w:lvl w:ilvl="5" w:tplc="1B1A3B02">
      <w:numFmt w:val="bullet"/>
      <w:lvlText w:val="•"/>
      <w:lvlJc w:val="left"/>
      <w:pPr>
        <w:ind w:left="5264" w:hanging="361"/>
      </w:pPr>
      <w:rPr>
        <w:rFonts w:hint="default"/>
        <w:lang w:val="cs-CZ" w:eastAsia="cs-CZ" w:bidi="cs-CZ"/>
      </w:rPr>
    </w:lvl>
    <w:lvl w:ilvl="6" w:tplc="0CBE39AA">
      <w:numFmt w:val="bullet"/>
      <w:lvlText w:val="•"/>
      <w:lvlJc w:val="left"/>
      <w:pPr>
        <w:ind w:left="6313" w:hanging="361"/>
      </w:pPr>
      <w:rPr>
        <w:rFonts w:hint="default"/>
        <w:lang w:val="cs-CZ" w:eastAsia="cs-CZ" w:bidi="cs-CZ"/>
      </w:rPr>
    </w:lvl>
    <w:lvl w:ilvl="7" w:tplc="78F6E76A">
      <w:numFmt w:val="bullet"/>
      <w:lvlText w:val="•"/>
      <w:lvlJc w:val="left"/>
      <w:pPr>
        <w:ind w:left="7362" w:hanging="361"/>
      </w:pPr>
      <w:rPr>
        <w:rFonts w:hint="default"/>
        <w:lang w:val="cs-CZ" w:eastAsia="cs-CZ" w:bidi="cs-CZ"/>
      </w:rPr>
    </w:lvl>
    <w:lvl w:ilvl="8" w:tplc="8C0899EC">
      <w:numFmt w:val="bullet"/>
      <w:lvlText w:val="•"/>
      <w:lvlJc w:val="left"/>
      <w:pPr>
        <w:ind w:left="8411" w:hanging="361"/>
      </w:pPr>
      <w:rPr>
        <w:rFonts w:hint="default"/>
        <w:lang w:val="cs-CZ" w:eastAsia="cs-CZ" w:bidi="cs-CZ"/>
      </w:rPr>
    </w:lvl>
  </w:abstractNum>
  <w:abstractNum w:abstractNumId="5" w15:restartNumberingAfterBreak="0">
    <w:nsid w:val="252F352A"/>
    <w:multiLevelType w:val="hybridMultilevel"/>
    <w:tmpl w:val="5902FAA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AF1183C"/>
    <w:multiLevelType w:val="hybridMultilevel"/>
    <w:tmpl w:val="EA741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840721"/>
    <w:multiLevelType w:val="multilevel"/>
    <w:tmpl w:val="681EB072"/>
    <w:lvl w:ilvl="0">
      <w:start w:val="1"/>
      <w:numFmt w:val="decimal"/>
      <w:lvlText w:val="%1"/>
      <w:lvlJc w:val="left"/>
      <w:pPr>
        <w:ind w:left="385" w:hanging="385"/>
      </w:pPr>
      <w:rPr>
        <w:rFonts w:hint="default"/>
      </w:rPr>
    </w:lvl>
    <w:lvl w:ilvl="1">
      <w:start w:val="1"/>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FF31DA"/>
    <w:multiLevelType w:val="hybridMultilevel"/>
    <w:tmpl w:val="4D182898"/>
    <w:lvl w:ilvl="0" w:tplc="923477DA">
      <w:numFmt w:val="bullet"/>
      <w:lvlText w:val="●"/>
      <w:lvlJc w:val="left"/>
      <w:pPr>
        <w:ind w:left="375" w:hanging="356"/>
      </w:pPr>
      <w:rPr>
        <w:rFonts w:ascii="Calibri" w:eastAsia="Calibri" w:hAnsi="Calibri" w:cs="Calibri" w:hint="default"/>
        <w:spacing w:val="-2"/>
        <w:w w:val="100"/>
        <w:sz w:val="24"/>
        <w:szCs w:val="24"/>
        <w:lang w:val="cs-CZ" w:eastAsia="cs-CZ" w:bidi="cs-CZ"/>
      </w:rPr>
    </w:lvl>
    <w:lvl w:ilvl="1" w:tplc="4C10994E">
      <w:numFmt w:val="bullet"/>
      <w:lvlText w:val="•"/>
      <w:lvlJc w:val="left"/>
      <w:pPr>
        <w:ind w:left="1356" w:hanging="356"/>
      </w:pPr>
      <w:rPr>
        <w:rFonts w:hint="default"/>
        <w:lang w:val="cs-CZ" w:eastAsia="cs-CZ" w:bidi="cs-CZ"/>
      </w:rPr>
    </w:lvl>
    <w:lvl w:ilvl="2" w:tplc="CCE031FA">
      <w:numFmt w:val="bullet"/>
      <w:lvlText w:val="•"/>
      <w:lvlJc w:val="left"/>
      <w:pPr>
        <w:ind w:left="2333" w:hanging="356"/>
      </w:pPr>
      <w:rPr>
        <w:rFonts w:hint="default"/>
        <w:lang w:val="cs-CZ" w:eastAsia="cs-CZ" w:bidi="cs-CZ"/>
      </w:rPr>
    </w:lvl>
    <w:lvl w:ilvl="3" w:tplc="8904CBF6">
      <w:numFmt w:val="bullet"/>
      <w:lvlText w:val="•"/>
      <w:lvlJc w:val="left"/>
      <w:pPr>
        <w:ind w:left="3310" w:hanging="356"/>
      </w:pPr>
      <w:rPr>
        <w:rFonts w:hint="default"/>
        <w:lang w:val="cs-CZ" w:eastAsia="cs-CZ" w:bidi="cs-CZ"/>
      </w:rPr>
    </w:lvl>
    <w:lvl w:ilvl="4" w:tplc="4EA0D7A0">
      <w:numFmt w:val="bullet"/>
      <w:lvlText w:val="•"/>
      <w:lvlJc w:val="left"/>
      <w:pPr>
        <w:ind w:left="4287" w:hanging="356"/>
      </w:pPr>
      <w:rPr>
        <w:rFonts w:hint="default"/>
        <w:lang w:val="cs-CZ" w:eastAsia="cs-CZ" w:bidi="cs-CZ"/>
      </w:rPr>
    </w:lvl>
    <w:lvl w:ilvl="5" w:tplc="8F702632">
      <w:numFmt w:val="bullet"/>
      <w:lvlText w:val="•"/>
      <w:lvlJc w:val="left"/>
      <w:pPr>
        <w:ind w:left="5264" w:hanging="356"/>
      </w:pPr>
      <w:rPr>
        <w:rFonts w:hint="default"/>
        <w:lang w:val="cs-CZ" w:eastAsia="cs-CZ" w:bidi="cs-CZ"/>
      </w:rPr>
    </w:lvl>
    <w:lvl w:ilvl="6" w:tplc="DA020E02">
      <w:numFmt w:val="bullet"/>
      <w:lvlText w:val="•"/>
      <w:lvlJc w:val="left"/>
      <w:pPr>
        <w:ind w:left="6240" w:hanging="356"/>
      </w:pPr>
      <w:rPr>
        <w:rFonts w:hint="default"/>
        <w:lang w:val="cs-CZ" w:eastAsia="cs-CZ" w:bidi="cs-CZ"/>
      </w:rPr>
    </w:lvl>
    <w:lvl w:ilvl="7" w:tplc="9ED4D38A">
      <w:numFmt w:val="bullet"/>
      <w:lvlText w:val="•"/>
      <w:lvlJc w:val="left"/>
      <w:pPr>
        <w:ind w:left="7217" w:hanging="356"/>
      </w:pPr>
      <w:rPr>
        <w:rFonts w:hint="default"/>
        <w:lang w:val="cs-CZ" w:eastAsia="cs-CZ" w:bidi="cs-CZ"/>
      </w:rPr>
    </w:lvl>
    <w:lvl w:ilvl="8" w:tplc="E92A6F0A">
      <w:numFmt w:val="bullet"/>
      <w:lvlText w:val="•"/>
      <w:lvlJc w:val="left"/>
      <w:pPr>
        <w:ind w:left="8194" w:hanging="356"/>
      </w:pPr>
      <w:rPr>
        <w:rFonts w:hint="default"/>
        <w:lang w:val="cs-CZ" w:eastAsia="cs-CZ" w:bidi="cs-CZ"/>
      </w:rPr>
    </w:lvl>
  </w:abstractNum>
  <w:abstractNum w:abstractNumId="9" w15:restartNumberingAfterBreak="0">
    <w:nsid w:val="35571454"/>
    <w:multiLevelType w:val="hybridMultilevel"/>
    <w:tmpl w:val="2A28B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D20754"/>
    <w:multiLevelType w:val="hybridMultilevel"/>
    <w:tmpl w:val="C5027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DF07BE"/>
    <w:multiLevelType w:val="hybridMultilevel"/>
    <w:tmpl w:val="111477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4422FD"/>
    <w:multiLevelType w:val="hybridMultilevel"/>
    <w:tmpl w:val="F3048F3E"/>
    <w:lvl w:ilvl="0" w:tplc="04050001">
      <w:start w:val="1"/>
      <w:numFmt w:val="bullet"/>
      <w:lvlText w:val=""/>
      <w:lvlJc w:val="left"/>
      <w:pPr>
        <w:ind w:left="740" w:hanging="360"/>
      </w:pPr>
      <w:rPr>
        <w:rFonts w:ascii="Symbol" w:hAnsi="Symbol"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13" w15:restartNumberingAfterBreak="0">
    <w:nsid w:val="44D84A7E"/>
    <w:multiLevelType w:val="hybridMultilevel"/>
    <w:tmpl w:val="0810BC08"/>
    <w:lvl w:ilvl="0" w:tplc="0D2EF0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2812BC"/>
    <w:multiLevelType w:val="hybridMultilevel"/>
    <w:tmpl w:val="A080E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BC5664"/>
    <w:multiLevelType w:val="hybridMultilevel"/>
    <w:tmpl w:val="E196E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343C38"/>
    <w:multiLevelType w:val="hybridMultilevel"/>
    <w:tmpl w:val="C1BCED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1B3A8C"/>
    <w:multiLevelType w:val="multilevel"/>
    <w:tmpl w:val="E8FE0FC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AA76147"/>
    <w:multiLevelType w:val="hybridMultilevel"/>
    <w:tmpl w:val="77407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C817BE"/>
    <w:multiLevelType w:val="hybridMultilevel"/>
    <w:tmpl w:val="0F069EBC"/>
    <w:lvl w:ilvl="0" w:tplc="F53809DE">
      <w:start w:val="1"/>
      <w:numFmt w:val="decimal"/>
      <w:lvlText w:val="%1."/>
      <w:lvlJc w:val="left"/>
      <w:pPr>
        <w:ind w:left="1065" w:hanging="70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E92E78"/>
    <w:multiLevelType w:val="hybridMultilevel"/>
    <w:tmpl w:val="E2987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846FA4"/>
    <w:multiLevelType w:val="hybridMultilevel"/>
    <w:tmpl w:val="49E8AA60"/>
    <w:lvl w:ilvl="0" w:tplc="0405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1429937">
    <w:abstractNumId w:val="16"/>
  </w:num>
  <w:num w:numId="2" w16cid:durableId="1734233513">
    <w:abstractNumId w:val="12"/>
  </w:num>
  <w:num w:numId="3" w16cid:durableId="1033504017">
    <w:abstractNumId w:val="9"/>
  </w:num>
  <w:num w:numId="4" w16cid:durableId="2106732440">
    <w:abstractNumId w:val="4"/>
  </w:num>
  <w:num w:numId="5" w16cid:durableId="1544751786">
    <w:abstractNumId w:val="8"/>
  </w:num>
  <w:num w:numId="6" w16cid:durableId="1008563725">
    <w:abstractNumId w:val="2"/>
  </w:num>
  <w:num w:numId="7" w16cid:durableId="609243526">
    <w:abstractNumId w:val="15"/>
  </w:num>
  <w:num w:numId="8" w16cid:durableId="643198954">
    <w:abstractNumId w:val="1"/>
  </w:num>
  <w:num w:numId="9" w16cid:durableId="1870218871">
    <w:abstractNumId w:val="20"/>
  </w:num>
  <w:num w:numId="10" w16cid:durableId="1992363537">
    <w:abstractNumId w:val="6"/>
  </w:num>
  <w:num w:numId="11" w16cid:durableId="809126783">
    <w:abstractNumId w:val="3"/>
  </w:num>
  <w:num w:numId="12" w16cid:durableId="1045645143">
    <w:abstractNumId w:val="18"/>
  </w:num>
  <w:num w:numId="13" w16cid:durableId="1638996568">
    <w:abstractNumId w:val="17"/>
  </w:num>
  <w:num w:numId="14" w16cid:durableId="49118666">
    <w:abstractNumId w:val="0"/>
  </w:num>
  <w:num w:numId="15" w16cid:durableId="128547954">
    <w:abstractNumId w:val="13"/>
  </w:num>
  <w:num w:numId="16" w16cid:durableId="1275285595">
    <w:abstractNumId w:val="5"/>
  </w:num>
  <w:num w:numId="17" w16cid:durableId="776877423">
    <w:abstractNumId w:val="14"/>
  </w:num>
  <w:num w:numId="18" w16cid:durableId="1870952269">
    <w:abstractNumId w:val="7"/>
  </w:num>
  <w:num w:numId="19" w16cid:durableId="1428503279">
    <w:abstractNumId w:val="19"/>
  </w:num>
  <w:num w:numId="20" w16cid:durableId="1764689831">
    <w:abstractNumId w:val="11"/>
  </w:num>
  <w:num w:numId="21" w16cid:durableId="638262102">
    <w:abstractNumId w:val="21"/>
  </w:num>
  <w:num w:numId="22" w16cid:durableId="1286892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33"/>
    <w:rsid w:val="00000F45"/>
    <w:rsid w:val="00001169"/>
    <w:rsid w:val="00006584"/>
    <w:rsid w:val="00015BDF"/>
    <w:rsid w:val="000164A1"/>
    <w:rsid w:val="00016C06"/>
    <w:rsid w:val="0002733A"/>
    <w:rsid w:val="00031AEA"/>
    <w:rsid w:val="00040319"/>
    <w:rsid w:val="000424A1"/>
    <w:rsid w:val="00044CB2"/>
    <w:rsid w:val="0004710B"/>
    <w:rsid w:val="00062B2A"/>
    <w:rsid w:val="00064BB3"/>
    <w:rsid w:val="000743A5"/>
    <w:rsid w:val="000749E6"/>
    <w:rsid w:val="0007643F"/>
    <w:rsid w:val="00084F28"/>
    <w:rsid w:val="0008695B"/>
    <w:rsid w:val="00086D1B"/>
    <w:rsid w:val="000877A1"/>
    <w:rsid w:val="00094554"/>
    <w:rsid w:val="000C5CD7"/>
    <w:rsid w:val="000D5550"/>
    <w:rsid w:val="000D56C4"/>
    <w:rsid w:val="000E08ED"/>
    <w:rsid w:val="000E1DA3"/>
    <w:rsid w:val="001065FF"/>
    <w:rsid w:val="00115553"/>
    <w:rsid w:val="00123E48"/>
    <w:rsid w:val="0012479E"/>
    <w:rsid w:val="00146A04"/>
    <w:rsid w:val="00155133"/>
    <w:rsid w:val="00155BC1"/>
    <w:rsid w:val="00165655"/>
    <w:rsid w:val="001664A1"/>
    <w:rsid w:val="00177C3F"/>
    <w:rsid w:val="00182B3C"/>
    <w:rsid w:val="00183029"/>
    <w:rsid w:val="001843E4"/>
    <w:rsid w:val="00195D6D"/>
    <w:rsid w:val="001A3AA6"/>
    <w:rsid w:val="001A6CD6"/>
    <w:rsid w:val="001B2B58"/>
    <w:rsid w:val="001C1AAA"/>
    <w:rsid w:val="001C584C"/>
    <w:rsid w:val="001D7703"/>
    <w:rsid w:val="001E09C6"/>
    <w:rsid w:val="001F002D"/>
    <w:rsid w:val="001F0FC5"/>
    <w:rsid w:val="0020045B"/>
    <w:rsid w:val="00212E1C"/>
    <w:rsid w:val="002143DE"/>
    <w:rsid w:val="00216B7A"/>
    <w:rsid w:val="00217AE8"/>
    <w:rsid w:val="00230AFA"/>
    <w:rsid w:val="0023272B"/>
    <w:rsid w:val="00232B05"/>
    <w:rsid w:val="00246CCC"/>
    <w:rsid w:val="00254AFE"/>
    <w:rsid w:val="00255DAE"/>
    <w:rsid w:val="00261549"/>
    <w:rsid w:val="00282427"/>
    <w:rsid w:val="00282A41"/>
    <w:rsid w:val="00282A8B"/>
    <w:rsid w:val="00294E3F"/>
    <w:rsid w:val="002A34F8"/>
    <w:rsid w:val="002A3E24"/>
    <w:rsid w:val="002B3F8E"/>
    <w:rsid w:val="002B5AA9"/>
    <w:rsid w:val="002B605E"/>
    <w:rsid w:val="002C0ACC"/>
    <w:rsid w:val="002D293A"/>
    <w:rsid w:val="002E38BC"/>
    <w:rsid w:val="002F358C"/>
    <w:rsid w:val="002F4673"/>
    <w:rsid w:val="002F5967"/>
    <w:rsid w:val="002F7F9A"/>
    <w:rsid w:val="00302CFF"/>
    <w:rsid w:val="003044AC"/>
    <w:rsid w:val="00307FC0"/>
    <w:rsid w:val="00314543"/>
    <w:rsid w:val="003340F1"/>
    <w:rsid w:val="0033411A"/>
    <w:rsid w:val="00335BBD"/>
    <w:rsid w:val="0034585D"/>
    <w:rsid w:val="00363B8B"/>
    <w:rsid w:val="003651A8"/>
    <w:rsid w:val="00370C48"/>
    <w:rsid w:val="003876B7"/>
    <w:rsid w:val="0039187E"/>
    <w:rsid w:val="003919D1"/>
    <w:rsid w:val="003A2950"/>
    <w:rsid w:val="003A4D0F"/>
    <w:rsid w:val="003B7CB9"/>
    <w:rsid w:val="003C6119"/>
    <w:rsid w:val="003E0D10"/>
    <w:rsid w:val="003E333A"/>
    <w:rsid w:val="003F0FEA"/>
    <w:rsid w:val="0040337F"/>
    <w:rsid w:val="0040349C"/>
    <w:rsid w:val="00406064"/>
    <w:rsid w:val="004160A4"/>
    <w:rsid w:val="00431C5C"/>
    <w:rsid w:val="00440652"/>
    <w:rsid w:val="0044465B"/>
    <w:rsid w:val="00444FC5"/>
    <w:rsid w:val="00452D82"/>
    <w:rsid w:val="00454336"/>
    <w:rsid w:val="00464CB3"/>
    <w:rsid w:val="00466B04"/>
    <w:rsid w:val="004722A9"/>
    <w:rsid w:val="0048323F"/>
    <w:rsid w:val="0048495E"/>
    <w:rsid w:val="004901D1"/>
    <w:rsid w:val="0049089C"/>
    <w:rsid w:val="004962D8"/>
    <w:rsid w:val="00497D08"/>
    <w:rsid w:val="004A1C39"/>
    <w:rsid w:val="004A71F4"/>
    <w:rsid w:val="004B2D9C"/>
    <w:rsid w:val="004B5AB2"/>
    <w:rsid w:val="004C16F5"/>
    <w:rsid w:val="004C474E"/>
    <w:rsid w:val="004C4DDF"/>
    <w:rsid w:val="004C54BF"/>
    <w:rsid w:val="004D29B7"/>
    <w:rsid w:val="004E0DA9"/>
    <w:rsid w:val="004F3ECA"/>
    <w:rsid w:val="00502A2D"/>
    <w:rsid w:val="005275D3"/>
    <w:rsid w:val="00544497"/>
    <w:rsid w:val="0055796D"/>
    <w:rsid w:val="00574536"/>
    <w:rsid w:val="005805DC"/>
    <w:rsid w:val="00592AE0"/>
    <w:rsid w:val="00594F42"/>
    <w:rsid w:val="005A0EE1"/>
    <w:rsid w:val="005A6DEB"/>
    <w:rsid w:val="005A7D24"/>
    <w:rsid w:val="005B78CF"/>
    <w:rsid w:val="005D146D"/>
    <w:rsid w:val="005E157F"/>
    <w:rsid w:val="005E6B49"/>
    <w:rsid w:val="005F6D88"/>
    <w:rsid w:val="00602A9F"/>
    <w:rsid w:val="00615D7B"/>
    <w:rsid w:val="00621F80"/>
    <w:rsid w:val="006368F6"/>
    <w:rsid w:val="00637396"/>
    <w:rsid w:val="00640400"/>
    <w:rsid w:val="0064123A"/>
    <w:rsid w:val="006422AD"/>
    <w:rsid w:val="00645930"/>
    <w:rsid w:val="00656921"/>
    <w:rsid w:val="00656D03"/>
    <w:rsid w:val="00672C33"/>
    <w:rsid w:val="00672F29"/>
    <w:rsid w:val="0067686F"/>
    <w:rsid w:val="00684045"/>
    <w:rsid w:val="0069010A"/>
    <w:rsid w:val="006A0BB3"/>
    <w:rsid w:val="006A56EE"/>
    <w:rsid w:val="006B4F5F"/>
    <w:rsid w:val="006B5697"/>
    <w:rsid w:val="006D59DA"/>
    <w:rsid w:val="006D6559"/>
    <w:rsid w:val="006E2321"/>
    <w:rsid w:val="006E6E16"/>
    <w:rsid w:val="006F151D"/>
    <w:rsid w:val="006F60BA"/>
    <w:rsid w:val="007038B7"/>
    <w:rsid w:val="00704637"/>
    <w:rsid w:val="0071389A"/>
    <w:rsid w:val="00717946"/>
    <w:rsid w:val="00722B59"/>
    <w:rsid w:val="007255CE"/>
    <w:rsid w:val="007307BC"/>
    <w:rsid w:val="00742473"/>
    <w:rsid w:val="00744908"/>
    <w:rsid w:val="007525CA"/>
    <w:rsid w:val="00755F60"/>
    <w:rsid w:val="0076054F"/>
    <w:rsid w:val="00764846"/>
    <w:rsid w:val="00783CC8"/>
    <w:rsid w:val="00793516"/>
    <w:rsid w:val="00794D8A"/>
    <w:rsid w:val="007A295A"/>
    <w:rsid w:val="007A7805"/>
    <w:rsid w:val="007A7D25"/>
    <w:rsid w:val="007B3106"/>
    <w:rsid w:val="007B4037"/>
    <w:rsid w:val="007C0A14"/>
    <w:rsid w:val="007C2355"/>
    <w:rsid w:val="007C303D"/>
    <w:rsid w:val="007C5801"/>
    <w:rsid w:val="007C7344"/>
    <w:rsid w:val="007D70A8"/>
    <w:rsid w:val="007E38F3"/>
    <w:rsid w:val="007E713A"/>
    <w:rsid w:val="007F7D31"/>
    <w:rsid w:val="008026FC"/>
    <w:rsid w:val="00804109"/>
    <w:rsid w:val="008053AA"/>
    <w:rsid w:val="00813674"/>
    <w:rsid w:val="008227BA"/>
    <w:rsid w:val="008253C6"/>
    <w:rsid w:val="00826E0D"/>
    <w:rsid w:val="008477A7"/>
    <w:rsid w:val="00852A51"/>
    <w:rsid w:val="00856C08"/>
    <w:rsid w:val="00856EB3"/>
    <w:rsid w:val="008636CF"/>
    <w:rsid w:val="00873E6B"/>
    <w:rsid w:val="00876FDE"/>
    <w:rsid w:val="00887144"/>
    <w:rsid w:val="00895908"/>
    <w:rsid w:val="008A0E58"/>
    <w:rsid w:val="008A31CD"/>
    <w:rsid w:val="008A4F3A"/>
    <w:rsid w:val="008C2F02"/>
    <w:rsid w:val="008C745E"/>
    <w:rsid w:val="008C76FC"/>
    <w:rsid w:val="008D289E"/>
    <w:rsid w:val="008D7358"/>
    <w:rsid w:val="008E7A6F"/>
    <w:rsid w:val="008F3F40"/>
    <w:rsid w:val="008F6C85"/>
    <w:rsid w:val="008F73DC"/>
    <w:rsid w:val="00900297"/>
    <w:rsid w:val="00912B78"/>
    <w:rsid w:val="009243C6"/>
    <w:rsid w:val="00926788"/>
    <w:rsid w:val="009277D0"/>
    <w:rsid w:val="00934F84"/>
    <w:rsid w:val="00935BE4"/>
    <w:rsid w:val="00936386"/>
    <w:rsid w:val="00937F1C"/>
    <w:rsid w:val="00940DC4"/>
    <w:rsid w:val="0094136B"/>
    <w:rsid w:val="00941DAC"/>
    <w:rsid w:val="00946C5C"/>
    <w:rsid w:val="009503DE"/>
    <w:rsid w:val="009516F1"/>
    <w:rsid w:val="00974AB9"/>
    <w:rsid w:val="009812AA"/>
    <w:rsid w:val="0099227C"/>
    <w:rsid w:val="00992C38"/>
    <w:rsid w:val="00993841"/>
    <w:rsid w:val="009969D2"/>
    <w:rsid w:val="009A0F04"/>
    <w:rsid w:val="009D1DCC"/>
    <w:rsid w:val="009D292C"/>
    <w:rsid w:val="009F21FD"/>
    <w:rsid w:val="00A00BC8"/>
    <w:rsid w:val="00A04B86"/>
    <w:rsid w:val="00A061C8"/>
    <w:rsid w:val="00A30BB1"/>
    <w:rsid w:val="00A46123"/>
    <w:rsid w:val="00A6083C"/>
    <w:rsid w:val="00A656D2"/>
    <w:rsid w:val="00A70FF0"/>
    <w:rsid w:val="00A7250D"/>
    <w:rsid w:val="00A73E33"/>
    <w:rsid w:val="00A76E3F"/>
    <w:rsid w:val="00A90DAA"/>
    <w:rsid w:val="00A934A7"/>
    <w:rsid w:val="00A971C7"/>
    <w:rsid w:val="00A97BC0"/>
    <w:rsid w:val="00AA3D2F"/>
    <w:rsid w:val="00AB200B"/>
    <w:rsid w:val="00AC2A33"/>
    <w:rsid w:val="00AF0942"/>
    <w:rsid w:val="00B049B1"/>
    <w:rsid w:val="00B05478"/>
    <w:rsid w:val="00B0556A"/>
    <w:rsid w:val="00B1682F"/>
    <w:rsid w:val="00B21223"/>
    <w:rsid w:val="00B24886"/>
    <w:rsid w:val="00B24FA9"/>
    <w:rsid w:val="00B26882"/>
    <w:rsid w:val="00B27A29"/>
    <w:rsid w:val="00B40F46"/>
    <w:rsid w:val="00B53821"/>
    <w:rsid w:val="00B54582"/>
    <w:rsid w:val="00B61077"/>
    <w:rsid w:val="00B65967"/>
    <w:rsid w:val="00B718C7"/>
    <w:rsid w:val="00B74CF8"/>
    <w:rsid w:val="00B7604E"/>
    <w:rsid w:val="00B92D2D"/>
    <w:rsid w:val="00B94602"/>
    <w:rsid w:val="00B97737"/>
    <w:rsid w:val="00BA3F2D"/>
    <w:rsid w:val="00BC2167"/>
    <w:rsid w:val="00BC79C8"/>
    <w:rsid w:val="00BD3313"/>
    <w:rsid w:val="00BD4951"/>
    <w:rsid w:val="00BD50F5"/>
    <w:rsid w:val="00BE337A"/>
    <w:rsid w:val="00BF206A"/>
    <w:rsid w:val="00BF4923"/>
    <w:rsid w:val="00BF4A3C"/>
    <w:rsid w:val="00BF7201"/>
    <w:rsid w:val="00C02CA4"/>
    <w:rsid w:val="00C03775"/>
    <w:rsid w:val="00C0459F"/>
    <w:rsid w:val="00C0519E"/>
    <w:rsid w:val="00C174CB"/>
    <w:rsid w:val="00C20A85"/>
    <w:rsid w:val="00C271E7"/>
    <w:rsid w:val="00C35613"/>
    <w:rsid w:val="00C43157"/>
    <w:rsid w:val="00C44581"/>
    <w:rsid w:val="00C65799"/>
    <w:rsid w:val="00C865EE"/>
    <w:rsid w:val="00C875A6"/>
    <w:rsid w:val="00C9022C"/>
    <w:rsid w:val="00C928C2"/>
    <w:rsid w:val="00C94C91"/>
    <w:rsid w:val="00CA3D67"/>
    <w:rsid w:val="00CA6755"/>
    <w:rsid w:val="00CB5894"/>
    <w:rsid w:val="00CC0F75"/>
    <w:rsid w:val="00CC37ED"/>
    <w:rsid w:val="00CC4CE7"/>
    <w:rsid w:val="00CD68C7"/>
    <w:rsid w:val="00CE365D"/>
    <w:rsid w:val="00CE6B8C"/>
    <w:rsid w:val="00CF08E1"/>
    <w:rsid w:val="00CF6324"/>
    <w:rsid w:val="00D054F4"/>
    <w:rsid w:val="00D11E62"/>
    <w:rsid w:val="00D21DC9"/>
    <w:rsid w:val="00D26DBB"/>
    <w:rsid w:val="00D301F2"/>
    <w:rsid w:val="00D31886"/>
    <w:rsid w:val="00D32868"/>
    <w:rsid w:val="00D45596"/>
    <w:rsid w:val="00D460FC"/>
    <w:rsid w:val="00D462CD"/>
    <w:rsid w:val="00D4712E"/>
    <w:rsid w:val="00D627D2"/>
    <w:rsid w:val="00D63462"/>
    <w:rsid w:val="00D72E56"/>
    <w:rsid w:val="00D73956"/>
    <w:rsid w:val="00D77C39"/>
    <w:rsid w:val="00D84801"/>
    <w:rsid w:val="00D87E34"/>
    <w:rsid w:val="00D909BB"/>
    <w:rsid w:val="00DA004D"/>
    <w:rsid w:val="00DB2445"/>
    <w:rsid w:val="00DB2A1B"/>
    <w:rsid w:val="00DB3AD9"/>
    <w:rsid w:val="00DC392D"/>
    <w:rsid w:val="00DD1F1D"/>
    <w:rsid w:val="00DD67D4"/>
    <w:rsid w:val="00E20E06"/>
    <w:rsid w:val="00E35A72"/>
    <w:rsid w:val="00E535F7"/>
    <w:rsid w:val="00E56D09"/>
    <w:rsid w:val="00E612BC"/>
    <w:rsid w:val="00E67740"/>
    <w:rsid w:val="00E73CB1"/>
    <w:rsid w:val="00E77012"/>
    <w:rsid w:val="00E82154"/>
    <w:rsid w:val="00E86F62"/>
    <w:rsid w:val="00E92865"/>
    <w:rsid w:val="00E9601A"/>
    <w:rsid w:val="00EB1D27"/>
    <w:rsid w:val="00EB2952"/>
    <w:rsid w:val="00EB6774"/>
    <w:rsid w:val="00EC6E1A"/>
    <w:rsid w:val="00ED540E"/>
    <w:rsid w:val="00EE12DC"/>
    <w:rsid w:val="00EF6CD7"/>
    <w:rsid w:val="00F01915"/>
    <w:rsid w:val="00F05034"/>
    <w:rsid w:val="00F14004"/>
    <w:rsid w:val="00F24F88"/>
    <w:rsid w:val="00F374F0"/>
    <w:rsid w:val="00F378B1"/>
    <w:rsid w:val="00F65755"/>
    <w:rsid w:val="00F65F93"/>
    <w:rsid w:val="00F70A97"/>
    <w:rsid w:val="00F70B47"/>
    <w:rsid w:val="00F93449"/>
    <w:rsid w:val="00FA054F"/>
    <w:rsid w:val="00FA2513"/>
    <w:rsid w:val="00FA6980"/>
    <w:rsid w:val="00FA71F3"/>
    <w:rsid w:val="00FB058C"/>
    <w:rsid w:val="00FC0B65"/>
    <w:rsid w:val="00FC6FDE"/>
    <w:rsid w:val="00FD372D"/>
    <w:rsid w:val="00FD61EB"/>
    <w:rsid w:val="00FE3C42"/>
    <w:rsid w:val="00FE4A8F"/>
    <w:rsid w:val="00FE7322"/>
    <w:rsid w:val="00FF7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F9DE"/>
  <w15:docId w15:val="{1390F943-28C0-4D62-9B75-2344882F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D25"/>
    <w:pPr>
      <w:widowControl w:val="0"/>
      <w:autoSpaceDE w:val="0"/>
      <w:autoSpaceDN w:val="0"/>
      <w:spacing w:after="0" w:line="240" w:lineRule="auto"/>
    </w:pPr>
    <w:rPr>
      <w:rFonts w:ascii="Calibri Light" w:eastAsia="Calibri Light" w:hAnsi="Calibri Light" w:cs="Calibri Light"/>
      <w:lang w:eastAsia="cs-CZ" w:bidi="cs-CZ"/>
    </w:rPr>
  </w:style>
  <w:style w:type="paragraph" w:styleId="Nadpis1">
    <w:name w:val="heading 1"/>
    <w:basedOn w:val="Normln"/>
    <w:next w:val="Normln"/>
    <w:link w:val="Nadpis1Char"/>
    <w:uiPriority w:val="9"/>
    <w:qFormat/>
    <w:rsid w:val="006901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F6C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2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6B4F5F"/>
    <w:pPr>
      <w:spacing w:before="120"/>
    </w:pPr>
    <w:rPr>
      <w:sz w:val="24"/>
      <w:szCs w:val="24"/>
    </w:rPr>
  </w:style>
  <w:style w:type="character" w:customStyle="1" w:styleId="ZkladntextChar">
    <w:name w:val="Základní text Char"/>
    <w:basedOn w:val="Standardnpsmoodstavce"/>
    <w:link w:val="Zkladntext"/>
    <w:uiPriority w:val="1"/>
    <w:rsid w:val="006B4F5F"/>
    <w:rPr>
      <w:rFonts w:ascii="Calibri Light" w:eastAsia="Calibri Light" w:hAnsi="Calibri Light" w:cs="Calibri Light"/>
      <w:sz w:val="24"/>
      <w:szCs w:val="24"/>
      <w:lang w:eastAsia="cs-CZ" w:bidi="cs-CZ"/>
    </w:rPr>
  </w:style>
  <w:style w:type="character" w:styleId="Odkaznakoment">
    <w:name w:val="annotation reference"/>
    <w:basedOn w:val="Standardnpsmoodstavce"/>
    <w:uiPriority w:val="99"/>
    <w:semiHidden/>
    <w:unhideWhenUsed/>
    <w:rsid w:val="00E92865"/>
    <w:rPr>
      <w:sz w:val="16"/>
      <w:szCs w:val="16"/>
    </w:rPr>
  </w:style>
  <w:style w:type="paragraph" w:styleId="Textkomente">
    <w:name w:val="annotation text"/>
    <w:basedOn w:val="Normln"/>
    <w:link w:val="TextkomenteChar"/>
    <w:uiPriority w:val="99"/>
    <w:unhideWhenUsed/>
    <w:rsid w:val="00E92865"/>
    <w:rPr>
      <w:sz w:val="20"/>
      <w:szCs w:val="20"/>
    </w:rPr>
  </w:style>
  <w:style w:type="character" w:customStyle="1" w:styleId="TextkomenteChar">
    <w:name w:val="Text komentáře Char"/>
    <w:basedOn w:val="Standardnpsmoodstavce"/>
    <w:link w:val="Textkomente"/>
    <w:uiPriority w:val="99"/>
    <w:rsid w:val="00E92865"/>
    <w:rPr>
      <w:rFonts w:ascii="Calibri Light" w:eastAsia="Calibri Light" w:hAnsi="Calibri Light" w:cs="Calibri Light"/>
      <w:sz w:val="20"/>
      <w:szCs w:val="20"/>
      <w:lang w:eastAsia="cs-CZ" w:bidi="cs-CZ"/>
    </w:rPr>
  </w:style>
  <w:style w:type="paragraph" w:styleId="Pedmtkomente">
    <w:name w:val="annotation subject"/>
    <w:basedOn w:val="Textkomente"/>
    <w:next w:val="Textkomente"/>
    <w:link w:val="PedmtkomenteChar"/>
    <w:uiPriority w:val="99"/>
    <w:semiHidden/>
    <w:unhideWhenUsed/>
    <w:rsid w:val="00E92865"/>
    <w:rPr>
      <w:b/>
      <w:bCs/>
    </w:rPr>
  </w:style>
  <w:style w:type="character" w:customStyle="1" w:styleId="PedmtkomenteChar">
    <w:name w:val="Předmět komentáře Char"/>
    <w:basedOn w:val="TextkomenteChar"/>
    <w:link w:val="Pedmtkomente"/>
    <w:uiPriority w:val="99"/>
    <w:semiHidden/>
    <w:rsid w:val="00E92865"/>
    <w:rPr>
      <w:rFonts w:ascii="Calibri Light" w:eastAsia="Calibri Light" w:hAnsi="Calibri Light" w:cs="Calibri Light"/>
      <w:b/>
      <w:bCs/>
      <w:sz w:val="20"/>
      <w:szCs w:val="20"/>
      <w:lang w:eastAsia="cs-CZ" w:bidi="cs-CZ"/>
    </w:rPr>
  </w:style>
  <w:style w:type="character" w:customStyle="1" w:styleId="Nadpis1Char">
    <w:name w:val="Nadpis 1 Char"/>
    <w:basedOn w:val="Standardnpsmoodstavce"/>
    <w:link w:val="Nadpis1"/>
    <w:uiPriority w:val="9"/>
    <w:rsid w:val="0069010A"/>
    <w:rPr>
      <w:rFonts w:asciiTheme="majorHAnsi" w:eastAsiaTheme="majorEastAsia" w:hAnsiTheme="majorHAnsi" w:cstheme="majorBidi"/>
      <w:color w:val="2F5496" w:themeColor="accent1" w:themeShade="BF"/>
      <w:sz w:val="32"/>
      <w:szCs w:val="32"/>
      <w:lang w:eastAsia="cs-CZ" w:bidi="cs-CZ"/>
    </w:rPr>
  </w:style>
  <w:style w:type="paragraph" w:styleId="Textpoznpodarou">
    <w:name w:val="footnote text"/>
    <w:basedOn w:val="Normln"/>
    <w:link w:val="TextpoznpodarouChar"/>
    <w:uiPriority w:val="99"/>
    <w:semiHidden/>
    <w:unhideWhenUsed/>
    <w:rsid w:val="00FA71F3"/>
    <w:rPr>
      <w:sz w:val="20"/>
      <w:szCs w:val="20"/>
    </w:rPr>
  </w:style>
  <w:style w:type="character" w:customStyle="1" w:styleId="TextpoznpodarouChar">
    <w:name w:val="Text pozn. pod čarou Char"/>
    <w:basedOn w:val="Standardnpsmoodstavce"/>
    <w:link w:val="Textpoznpodarou"/>
    <w:uiPriority w:val="99"/>
    <w:semiHidden/>
    <w:rsid w:val="00FA71F3"/>
    <w:rPr>
      <w:rFonts w:ascii="Calibri Light" w:eastAsia="Calibri Light" w:hAnsi="Calibri Light" w:cs="Calibri Light"/>
      <w:sz w:val="20"/>
      <w:szCs w:val="20"/>
      <w:lang w:eastAsia="cs-CZ" w:bidi="cs-CZ"/>
    </w:rPr>
  </w:style>
  <w:style w:type="character" w:styleId="Znakapoznpodarou">
    <w:name w:val="footnote reference"/>
    <w:basedOn w:val="Standardnpsmoodstavce"/>
    <w:uiPriority w:val="99"/>
    <w:semiHidden/>
    <w:unhideWhenUsed/>
    <w:rsid w:val="00FA71F3"/>
    <w:rPr>
      <w:vertAlign w:val="superscript"/>
    </w:rPr>
  </w:style>
  <w:style w:type="paragraph" w:styleId="Revize">
    <w:name w:val="Revision"/>
    <w:hidden/>
    <w:uiPriority w:val="99"/>
    <w:semiHidden/>
    <w:rsid w:val="009F21FD"/>
    <w:pPr>
      <w:spacing w:after="0" w:line="240" w:lineRule="auto"/>
    </w:pPr>
    <w:rPr>
      <w:rFonts w:ascii="Calibri Light" w:eastAsia="Calibri Light" w:hAnsi="Calibri Light" w:cs="Calibri Light"/>
      <w:lang w:eastAsia="cs-CZ" w:bidi="cs-CZ"/>
    </w:rPr>
  </w:style>
  <w:style w:type="character" w:styleId="Siln">
    <w:name w:val="Strong"/>
    <w:basedOn w:val="Standardnpsmoodstavce"/>
    <w:uiPriority w:val="22"/>
    <w:qFormat/>
    <w:rsid w:val="00D627D2"/>
    <w:rPr>
      <w:b/>
      <w:bCs/>
    </w:rPr>
  </w:style>
  <w:style w:type="paragraph" w:styleId="Zhlav">
    <w:name w:val="header"/>
    <w:basedOn w:val="Normln"/>
    <w:link w:val="ZhlavChar"/>
    <w:uiPriority w:val="99"/>
    <w:unhideWhenUsed/>
    <w:rsid w:val="0023272B"/>
    <w:pPr>
      <w:tabs>
        <w:tab w:val="center" w:pos="4513"/>
        <w:tab w:val="right" w:pos="9026"/>
      </w:tabs>
    </w:pPr>
  </w:style>
  <w:style w:type="character" w:customStyle="1" w:styleId="ZhlavChar">
    <w:name w:val="Záhlaví Char"/>
    <w:basedOn w:val="Standardnpsmoodstavce"/>
    <w:link w:val="Zhlav"/>
    <w:uiPriority w:val="99"/>
    <w:rsid w:val="0023272B"/>
    <w:rPr>
      <w:rFonts w:ascii="Calibri Light" w:eastAsia="Calibri Light" w:hAnsi="Calibri Light" w:cs="Calibri Light"/>
      <w:lang w:eastAsia="cs-CZ" w:bidi="cs-CZ"/>
    </w:rPr>
  </w:style>
  <w:style w:type="paragraph" w:styleId="Zpat">
    <w:name w:val="footer"/>
    <w:basedOn w:val="Normln"/>
    <w:link w:val="ZpatChar"/>
    <w:uiPriority w:val="99"/>
    <w:unhideWhenUsed/>
    <w:rsid w:val="0023272B"/>
    <w:pPr>
      <w:tabs>
        <w:tab w:val="center" w:pos="4513"/>
        <w:tab w:val="right" w:pos="9026"/>
      </w:tabs>
    </w:pPr>
  </w:style>
  <w:style w:type="character" w:customStyle="1" w:styleId="ZpatChar">
    <w:name w:val="Zápatí Char"/>
    <w:basedOn w:val="Standardnpsmoodstavce"/>
    <w:link w:val="Zpat"/>
    <w:uiPriority w:val="99"/>
    <w:rsid w:val="0023272B"/>
    <w:rPr>
      <w:rFonts w:ascii="Calibri Light" w:eastAsia="Calibri Light" w:hAnsi="Calibri Light" w:cs="Calibri Light"/>
      <w:lang w:eastAsia="cs-CZ" w:bidi="cs-CZ"/>
    </w:rPr>
  </w:style>
  <w:style w:type="paragraph" w:customStyle="1" w:styleId="Default">
    <w:name w:val="Default"/>
    <w:rsid w:val="007B310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C4CE7"/>
    <w:rPr>
      <w:color w:val="0563C1" w:themeColor="hyperlink"/>
      <w:u w:val="single"/>
    </w:rPr>
  </w:style>
  <w:style w:type="character" w:styleId="Nevyeenzmnka">
    <w:name w:val="Unresolved Mention"/>
    <w:basedOn w:val="Standardnpsmoodstavce"/>
    <w:uiPriority w:val="99"/>
    <w:semiHidden/>
    <w:unhideWhenUsed/>
    <w:rsid w:val="00CC4CE7"/>
    <w:rPr>
      <w:color w:val="605E5C"/>
      <w:shd w:val="clear" w:color="auto" w:fill="E1DFDD"/>
    </w:rPr>
  </w:style>
  <w:style w:type="paragraph" w:styleId="Textbubliny">
    <w:name w:val="Balloon Text"/>
    <w:basedOn w:val="Normln"/>
    <w:link w:val="TextbublinyChar"/>
    <w:uiPriority w:val="99"/>
    <w:semiHidden/>
    <w:unhideWhenUsed/>
    <w:rsid w:val="00B049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9B1"/>
    <w:rPr>
      <w:rFonts w:ascii="Segoe UI" w:eastAsia="Calibri Light" w:hAnsi="Segoe UI" w:cs="Segoe UI"/>
      <w:sz w:val="18"/>
      <w:szCs w:val="18"/>
      <w:lang w:eastAsia="cs-CZ" w:bidi="cs-CZ"/>
    </w:rPr>
  </w:style>
  <w:style w:type="paragraph" w:styleId="Odstavecseseznamem">
    <w:name w:val="List Paragraph"/>
    <w:aliases w:val="číslování odstavců,Nad,Odstavec cíl se seznamem,Odstavec se seznamem5,Barevný seznam – zvýraznění 11,Odstavec_muj,Odstavec se seznamem1,Conclusion de partie,_Odstavec se seznamem,Seznam - odrážky,Fiche List Paragraph"/>
    <w:basedOn w:val="Normln"/>
    <w:link w:val="OdstavecseseznamemChar"/>
    <w:uiPriority w:val="34"/>
    <w:qFormat/>
    <w:rsid w:val="00086D1B"/>
    <w:pPr>
      <w:ind w:left="720"/>
      <w:contextualSpacing/>
    </w:pPr>
  </w:style>
  <w:style w:type="character" w:styleId="Sledovanodkaz">
    <w:name w:val="FollowedHyperlink"/>
    <w:basedOn w:val="Standardnpsmoodstavce"/>
    <w:uiPriority w:val="99"/>
    <w:semiHidden/>
    <w:unhideWhenUsed/>
    <w:rsid w:val="00A30BB1"/>
    <w:rPr>
      <w:color w:val="954F72" w:themeColor="followedHyperlink"/>
      <w:u w:val="single"/>
    </w:rPr>
  </w:style>
  <w:style w:type="character" w:customStyle="1" w:styleId="Nadpis2Char">
    <w:name w:val="Nadpis 2 Char"/>
    <w:basedOn w:val="Standardnpsmoodstavce"/>
    <w:link w:val="Nadpis2"/>
    <w:uiPriority w:val="9"/>
    <w:rsid w:val="008F6C85"/>
    <w:rPr>
      <w:rFonts w:asciiTheme="majorHAnsi" w:eastAsiaTheme="majorEastAsia" w:hAnsiTheme="majorHAnsi" w:cstheme="majorBidi"/>
      <w:color w:val="2F5496" w:themeColor="accent1" w:themeShade="BF"/>
      <w:sz w:val="26"/>
      <w:szCs w:val="26"/>
      <w:lang w:eastAsia="cs-CZ" w:bidi="cs-CZ"/>
    </w:rPr>
  </w:style>
  <w:style w:type="character" w:customStyle="1" w:styleId="OdstavecseseznamemChar">
    <w:name w:val="Odstavec se seznamem Char"/>
    <w:aliases w:val="číslování odstavců Char,Nad Char,Odstavec cíl se seznamem Char,Odstavec se seznamem5 Char,Barevný seznam – zvýraznění 11 Char,Odstavec_muj Char,Odstavec se seznamem1 Char,Conclusion de partie Char,_Odstavec se seznamem Char"/>
    <w:link w:val="Odstavecseseznamem"/>
    <w:uiPriority w:val="34"/>
    <w:qFormat/>
    <w:rsid w:val="00146A04"/>
    <w:rPr>
      <w:rFonts w:ascii="Calibri Light" w:eastAsia="Calibri Light" w:hAnsi="Calibri Light" w:cs="Calibri Light"/>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lanobnovycr.cz/"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A5CC-B3A2-4E92-8B90-BE2541566DC1}">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Normal.dotm</Template>
  <TotalTime>86</TotalTime>
  <Pages>11</Pages>
  <Words>3575</Words>
  <Characters>20379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Bouda</dc:creator>
  <cp:keywords/>
  <dc:description/>
  <cp:lastModifiedBy>Janovec Adam</cp:lastModifiedBy>
  <cp:revision>4</cp:revision>
  <cp:lastPrinted>2023-09-22T08:40:00Z</cp:lastPrinted>
  <dcterms:created xsi:type="dcterms:W3CDTF">2023-11-01T14:10:00Z</dcterms:created>
  <dcterms:modified xsi:type="dcterms:W3CDTF">2023-11-03T12:40:00Z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861f1c028ba5aea681adbd6ed2ccdaf8fa9185ee8c1e116bd7ae65ff622664bd</vt:lpwstr>
  </property>
  <property fmtid="{D5CDD505-2E9C-101B-9397-08002B2CF9AE}" pid="3" name="_DocHome">
    <vt:i4>1441059774</vt:i4>
  </property>
</Properties>
</file>